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DF7F0" w14:textId="77777777" w:rsidR="00B46EE3" w:rsidRPr="00BC6D6A" w:rsidRDefault="00B46EE3">
      <w:pPr>
        <w:rPr>
          <w:rFonts w:cs="Times New Roman"/>
        </w:rPr>
      </w:pPr>
    </w:p>
    <w:p w14:paraId="62EDA400" w14:textId="77777777" w:rsidR="00B46EE3" w:rsidRPr="00BC6D6A" w:rsidRDefault="00000000">
      <w:pPr>
        <w:pBdr>
          <w:top w:val="nil"/>
          <w:left w:val="nil"/>
          <w:bottom w:val="nil"/>
          <w:right w:val="nil"/>
          <w:between w:val="nil"/>
        </w:pBdr>
        <w:jc w:val="center"/>
        <w:rPr>
          <w:rFonts w:cs="Times New Roman"/>
          <w:color w:val="000000"/>
          <w:sz w:val="32"/>
          <w:szCs w:val="32"/>
        </w:rPr>
      </w:pPr>
      <w:proofErr w:type="spellStart"/>
      <w:r w:rsidRPr="00BC6D6A">
        <w:rPr>
          <w:rFonts w:cs="Times New Roman"/>
          <w:color w:val="000000"/>
          <w:sz w:val="32"/>
          <w:szCs w:val="32"/>
        </w:rPr>
        <w:t>Evaluasi</w:t>
      </w:r>
      <w:proofErr w:type="spellEnd"/>
      <w:r w:rsidRPr="00BC6D6A">
        <w:rPr>
          <w:rFonts w:cs="Times New Roman"/>
          <w:color w:val="000000"/>
          <w:sz w:val="32"/>
          <w:szCs w:val="32"/>
        </w:rPr>
        <w:t xml:space="preserve"> </w:t>
      </w:r>
      <w:proofErr w:type="spellStart"/>
      <w:r w:rsidRPr="00BC6D6A">
        <w:rPr>
          <w:rFonts w:cs="Times New Roman"/>
          <w:color w:val="000000"/>
          <w:sz w:val="32"/>
          <w:szCs w:val="32"/>
        </w:rPr>
        <w:t>Penggunaan</w:t>
      </w:r>
      <w:proofErr w:type="spellEnd"/>
      <w:r w:rsidRPr="00BC6D6A">
        <w:rPr>
          <w:rFonts w:cs="Times New Roman"/>
          <w:color w:val="000000"/>
          <w:sz w:val="32"/>
          <w:szCs w:val="32"/>
        </w:rPr>
        <w:t xml:space="preserve"> </w:t>
      </w:r>
      <w:proofErr w:type="spellStart"/>
      <w:r w:rsidRPr="00BC6D6A">
        <w:rPr>
          <w:rFonts w:cs="Times New Roman"/>
          <w:color w:val="000000"/>
          <w:sz w:val="32"/>
          <w:szCs w:val="32"/>
        </w:rPr>
        <w:t>Antibiotik</w:t>
      </w:r>
      <w:proofErr w:type="spellEnd"/>
      <w:r w:rsidRPr="00BC6D6A">
        <w:rPr>
          <w:rFonts w:cs="Times New Roman"/>
          <w:color w:val="000000"/>
          <w:sz w:val="32"/>
          <w:szCs w:val="32"/>
        </w:rPr>
        <w:t xml:space="preserve"> </w:t>
      </w:r>
      <w:proofErr w:type="spellStart"/>
      <w:r w:rsidRPr="00BC6D6A">
        <w:rPr>
          <w:rFonts w:cs="Times New Roman"/>
          <w:color w:val="000000"/>
          <w:sz w:val="32"/>
          <w:szCs w:val="32"/>
        </w:rPr>
        <w:t>Profilaksis</w:t>
      </w:r>
      <w:proofErr w:type="spellEnd"/>
      <w:r w:rsidRPr="00BC6D6A">
        <w:rPr>
          <w:rFonts w:cs="Times New Roman"/>
          <w:color w:val="000000"/>
          <w:sz w:val="32"/>
          <w:szCs w:val="32"/>
        </w:rPr>
        <w:t xml:space="preserve"> Pada Pasien Bedah Digestif </w:t>
      </w:r>
      <w:proofErr w:type="gramStart"/>
      <w:r w:rsidRPr="00BC6D6A">
        <w:rPr>
          <w:rFonts w:cs="Times New Roman"/>
          <w:color w:val="000000"/>
          <w:sz w:val="32"/>
          <w:szCs w:val="32"/>
        </w:rPr>
        <w:t>Di</w:t>
      </w:r>
      <w:proofErr w:type="gramEnd"/>
      <w:r w:rsidRPr="00BC6D6A">
        <w:rPr>
          <w:rFonts w:cs="Times New Roman"/>
          <w:color w:val="000000"/>
          <w:sz w:val="32"/>
          <w:szCs w:val="32"/>
        </w:rPr>
        <w:t xml:space="preserve"> Rumah Sakit X </w:t>
      </w:r>
      <w:proofErr w:type="spellStart"/>
      <w:r w:rsidRPr="00BC6D6A">
        <w:rPr>
          <w:rFonts w:cs="Times New Roman"/>
          <w:color w:val="000000"/>
          <w:sz w:val="32"/>
          <w:szCs w:val="32"/>
        </w:rPr>
        <w:t>Tasikmalaya</w:t>
      </w:r>
      <w:proofErr w:type="spellEnd"/>
      <w:r w:rsidRPr="00BC6D6A">
        <w:rPr>
          <w:rFonts w:cs="Times New Roman"/>
          <w:color w:val="000000"/>
          <w:sz w:val="32"/>
          <w:szCs w:val="32"/>
        </w:rPr>
        <w:t xml:space="preserve"> </w:t>
      </w:r>
    </w:p>
    <w:p w14:paraId="31845B4F" w14:textId="6160D1B1" w:rsidR="005965AE" w:rsidRPr="00BC6D6A" w:rsidRDefault="005965AE" w:rsidP="005965AE">
      <w:pPr>
        <w:pStyle w:val="Heading3"/>
        <w:spacing w:before="120"/>
        <w:jc w:val="center"/>
        <w:rPr>
          <w:rFonts w:ascii="Times New Roman" w:eastAsia="Times New Roman" w:hAnsi="Times New Roman" w:cs="Times New Roman"/>
          <w:b w:val="0"/>
          <w:color w:val="000000"/>
          <w:sz w:val="22"/>
          <w:szCs w:val="22"/>
        </w:rPr>
      </w:pPr>
      <w:r w:rsidRPr="00BC6D6A">
        <w:rPr>
          <w:rFonts w:ascii="Times New Roman" w:eastAsia="Times New Roman" w:hAnsi="Times New Roman" w:cs="Times New Roman"/>
          <w:color w:val="000000"/>
          <w:sz w:val="22"/>
          <w:szCs w:val="22"/>
        </w:rPr>
        <w:t>Tazkia Hasna Billah</w:t>
      </w:r>
      <w:r w:rsidRPr="00BC6D6A">
        <w:rPr>
          <w:rFonts w:ascii="Times New Roman" w:eastAsia="Times New Roman" w:hAnsi="Times New Roman" w:cs="Times New Roman"/>
          <w:color w:val="000000"/>
          <w:sz w:val="22"/>
          <w:szCs w:val="22"/>
          <w:vertAlign w:val="superscript"/>
        </w:rPr>
        <w:t>1</w:t>
      </w:r>
      <w:r w:rsidRPr="00BC6D6A">
        <w:rPr>
          <w:rFonts w:ascii="Times New Roman" w:eastAsia="Times New Roman" w:hAnsi="Times New Roman" w:cs="Times New Roman"/>
          <w:color w:val="000000"/>
          <w:sz w:val="22"/>
          <w:szCs w:val="22"/>
        </w:rPr>
        <w:t xml:space="preserve">, Ilham </w:t>
      </w:r>
      <w:proofErr w:type="spellStart"/>
      <w:r w:rsidRPr="00BC6D6A">
        <w:rPr>
          <w:rFonts w:ascii="Times New Roman" w:eastAsia="Times New Roman" w:hAnsi="Times New Roman" w:cs="Times New Roman"/>
          <w:color w:val="000000"/>
          <w:sz w:val="22"/>
          <w:szCs w:val="22"/>
        </w:rPr>
        <w:t>Alifiar</w:t>
      </w:r>
      <w:proofErr w:type="spellEnd"/>
      <w:r w:rsidRPr="00BC6D6A">
        <w:rPr>
          <w:rFonts w:ascii="Times New Roman" w:eastAsia="Times New Roman" w:hAnsi="Times New Roman" w:cs="Times New Roman"/>
          <w:color w:val="000000"/>
          <w:sz w:val="22"/>
          <w:szCs w:val="22"/>
        </w:rPr>
        <w:t xml:space="preserve"> </w:t>
      </w:r>
      <w:r w:rsidRPr="00BC6D6A">
        <w:rPr>
          <w:rFonts w:ascii="Times New Roman" w:eastAsia="Times New Roman" w:hAnsi="Times New Roman" w:cs="Times New Roman"/>
          <w:color w:val="000000"/>
          <w:sz w:val="22"/>
          <w:szCs w:val="22"/>
          <w:vertAlign w:val="superscript"/>
        </w:rPr>
        <w:t>2</w:t>
      </w:r>
      <w:r w:rsidRPr="00BC6D6A">
        <w:rPr>
          <w:rFonts w:ascii="Times New Roman" w:eastAsia="Times New Roman" w:hAnsi="Times New Roman" w:cs="Times New Roman"/>
          <w:color w:val="000000"/>
          <w:sz w:val="22"/>
          <w:szCs w:val="22"/>
        </w:rPr>
        <w:t xml:space="preserve">, Citra Dewi </w:t>
      </w:r>
      <w:proofErr w:type="spellStart"/>
      <w:r w:rsidRPr="00BC6D6A">
        <w:rPr>
          <w:rFonts w:ascii="Times New Roman" w:eastAsia="Times New Roman" w:hAnsi="Times New Roman" w:cs="Times New Roman"/>
          <w:color w:val="000000"/>
          <w:sz w:val="22"/>
          <w:szCs w:val="22"/>
        </w:rPr>
        <w:t>Salasanti</w:t>
      </w:r>
      <w:proofErr w:type="spellEnd"/>
      <w:r w:rsidRPr="00BC6D6A">
        <w:rPr>
          <w:rFonts w:ascii="Times New Roman" w:eastAsia="Times New Roman" w:hAnsi="Times New Roman" w:cs="Times New Roman"/>
          <w:color w:val="000000"/>
          <w:sz w:val="22"/>
          <w:szCs w:val="22"/>
        </w:rPr>
        <w:t xml:space="preserve"> </w:t>
      </w:r>
      <w:r w:rsidRPr="00BC6D6A">
        <w:rPr>
          <w:rFonts w:ascii="Times New Roman" w:eastAsia="Times New Roman" w:hAnsi="Times New Roman" w:cs="Times New Roman"/>
          <w:color w:val="000000"/>
          <w:sz w:val="22"/>
          <w:szCs w:val="22"/>
          <w:vertAlign w:val="superscript"/>
        </w:rPr>
        <w:t>3</w:t>
      </w:r>
    </w:p>
    <w:p w14:paraId="3DAFBA4B" w14:textId="328DFDBF" w:rsidR="005965AE" w:rsidRPr="00BC6D6A" w:rsidRDefault="005965AE" w:rsidP="005965AE">
      <w:pPr>
        <w:pBdr>
          <w:top w:val="nil"/>
          <w:left w:val="nil"/>
          <w:bottom w:val="nil"/>
          <w:right w:val="nil"/>
          <w:between w:val="nil"/>
        </w:pBdr>
        <w:jc w:val="center"/>
        <w:rPr>
          <w:rFonts w:eastAsia="Times New Roman" w:cs="Times New Roman"/>
          <w:color w:val="000000"/>
        </w:rPr>
      </w:pPr>
      <w:r w:rsidRPr="00BC6D6A">
        <w:rPr>
          <w:rFonts w:eastAsia="Times New Roman" w:cs="Times New Roman"/>
          <w:color w:val="000000"/>
        </w:rPr>
        <w:t xml:space="preserve"> </w:t>
      </w:r>
      <w:r w:rsidRPr="00BC6D6A">
        <w:rPr>
          <w:rFonts w:eastAsia="Times New Roman" w:cs="Times New Roman"/>
          <w:color w:val="000000"/>
          <w:vertAlign w:val="superscript"/>
        </w:rPr>
        <w:t>1</w:t>
      </w:r>
      <w:r w:rsidR="005929CB">
        <w:rPr>
          <w:rFonts w:eastAsia="Times New Roman" w:cs="Times New Roman"/>
          <w:color w:val="000000"/>
          <w:vertAlign w:val="superscript"/>
        </w:rPr>
        <w:t>,2,3</w:t>
      </w:r>
      <w:r w:rsidRPr="00BC6D6A">
        <w:rPr>
          <w:rFonts w:eastAsia="Times New Roman" w:cs="Times New Roman"/>
          <w:color w:val="000000"/>
        </w:rPr>
        <w:t xml:space="preserve">Program Studi Farmasi Universitas Bakti Tunas </w:t>
      </w:r>
      <w:proofErr w:type="spellStart"/>
      <w:r w:rsidRPr="00BC6D6A">
        <w:rPr>
          <w:rFonts w:eastAsia="Times New Roman" w:cs="Times New Roman"/>
          <w:color w:val="000000"/>
        </w:rPr>
        <w:t>Husda</w:t>
      </w:r>
      <w:proofErr w:type="spellEnd"/>
      <w:r w:rsidRPr="00BC6D6A">
        <w:rPr>
          <w:rFonts w:eastAsia="Times New Roman" w:cs="Times New Roman"/>
          <w:color w:val="000000"/>
        </w:rPr>
        <w:t xml:space="preserve"> </w:t>
      </w:r>
      <w:proofErr w:type="spellStart"/>
      <w:r w:rsidRPr="00BC6D6A">
        <w:rPr>
          <w:rFonts w:eastAsia="Times New Roman" w:cs="Times New Roman"/>
          <w:color w:val="000000"/>
        </w:rPr>
        <w:t>Tasikmalaya</w:t>
      </w:r>
      <w:proofErr w:type="spellEnd"/>
      <w:r w:rsidRPr="00BC6D6A">
        <w:rPr>
          <w:rFonts w:eastAsia="Times New Roman" w:cs="Times New Roman"/>
          <w:color w:val="000000"/>
        </w:rPr>
        <w:t xml:space="preserve"> </w:t>
      </w:r>
    </w:p>
    <w:p w14:paraId="51B990E8" w14:textId="092550B0" w:rsidR="00B46EE3" w:rsidRPr="00BC6D6A" w:rsidRDefault="005965AE" w:rsidP="005965AE">
      <w:pPr>
        <w:pBdr>
          <w:top w:val="nil"/>
          <w:left w:val="nil"/>
          <w:bottom w:val="nil"/>
          <w:right w:val="nil"/>
          <w:between w:val="nil"/>
        </w:pBdr>
        <w:jc w:val="center"/>
        <w:rPr>
          <w:rFonts w:cs="Times New Roman"/>
          <w:color w:val="000000"/>
          <w:sz w:val="32"/>
          <w:szCs w:val="32"/>
        </w:rPr>
      </w:pPr>
      <w:r w:rsidRPr="00BC6D6A">
        <w:rPr>
          <w:rFonts w:cs="Times New Roman"/>
        </w:rPr>
        <w:t>E-mail: ilhamalifiar@universitas-bth.ac.id</w:t>
      </w:r>
    </w:p>
    <w:p w14:paraId="56F8E640" w14:textId="77777777" w:rsidR="00B46EE3" w:rsidRPr="00BC6D6A" w:rsidRDefault="00B46EE3" w:rsidP="005965AE">
      <w:pPr>
        <w:rPr>
          <w:rFonts w:cs="Times New Roman"/>
        </w:rPr>
      </w:pPr>
      <w:bookmarkStart w:id="0" w:name="_heading=h.gjdgxs" w:colFirst="0" w:colLast="0"/>
      <w:bookmarkEnd w:id="0"/>
    </w:p>
    <w:tbl>
      <w:tblPr>
        <w:tblStyle w:val="a4"/>
        <w:tblW w:w="8931" w:type="dxa"/>
        <w:tblInd w:w="108" w:type="dxa"/>
        <w:tblLayout w:type="fixed"/>
        <w:tblLook w:val="0400" w:firstRow="0" w:lastRow="0" w:firstColumn="0" w:lastColumn="0" w:noHBand="0" w:noVBand="1"/>
      </w:tblPr>
      <w:tblGrid>
        <w:gridCol w:w="2025"/>
        <w:gridCol w:w="250"/>
        <w:gridCol w:w="6656"/>
      </w:tblGrid>
      <w:tr w:rsidR="00B46EE3" w:rsidRPr="00BC6D6A" w14:paraId="4CC4D956" w14:textId="77777777" w:rsidTr="009B64B6">
        <w:tc>
          <w:tcPr>
            <w:tcW w:w="2025" w:type="dxa"/>
            <w:shd w:val="clear" w:color="auto" w:fill="auto"/>
          </w:tcPr>
          <w:p w14:paraId="25A61A84" w14:textId="77777777" w:rsidR="00B46EE3" w:rsidRPr="00BC6D6A" w:rsidRDefault="00B46EE3">
            <w:pPr>
              <w:rPr>
                <w:rFonts w:cs="Times New Roman"/>
                <w:sz w:val="22"/>
                <w:szCs w:val="22"/>
              </w:rPr>
            </w:pPr>
          </w:p>
        </w:tc>
        <w:tc>
          <w:tcPr>
            <w:tcW w:w="250" w:type="dxa"/>
            <w:shd w:val="clear" w:color="auto" w:fill="auto"/>
          </w:tcPr>
          <w:p w14:paraId="7053F7B1" w14:textId="77777777" w:rsidR="00B46EE3" w:rsidRPr="00BC6D6A" w:rsidRDefault="00B46EE3">
            <w:pPr>
              <w:rPr>
                <w:rFonts w:cs="Times New Roman"/>
                <w:sz w:val="22"/>
                <w:szCs w:val="22"/>
              </w:rPr>
            </w:pPr>
          </w:p>
        </w:tc>
        <w:tc>
          <w:tcPr>
            <w:tcW w:w="6656" w:type="dxa"/>
            <w:shd w:val="clear" w:color="auto" w:fill="auto"/>
          </w:tcPr>
          <w:p w14:paraId="605234EA" w14:textId="77777777" w:rsidR="00B46EE3" w:rsidRPr="00BC6D6A" w:rsidRDefault="00B46EE3">
            <w:pPr>
              <w:rPr>
                <w:rFonts w:cs="Times New Roman"/>
                <w:sz w:val="22"/>
                <w:szCs w:val="22"/>
              </w:rPr>
            </w:pPr>
          </w:p>
        </w:tc>
      </w:tr>
      <w:tr w:rsidR="00B46EE3" w:rsidRPr="00BC6D6A" w14:paraId="3BD04485" w14:textId="77777777" w:rsidTr="009B64B6">
        <w:tc>
          <w:tcPr>
            <w:tcW w:w="2025" w:type="dxa"/>
            <w:shd w:val="clear" w:color="auto" w:fill="auto"/>
          </w:tcPr>
          <w:p w14:paraId="36D29A66" w14:textId="77777777" w:rsidR="00B46EE3" w:rsidRPr="00BC6D6A" w:rsidRDefault="00000000">
            <w:pPr>
              <w:ind w:left="-108"/>
              <w:rPr>
                <w:rFonts w:cs="Times New Roman"/>
                <w:b/>
                <w:u w:val="single"/>
              </w:rPr>
            </w:pPr>
            <w:r w:rsidRPr="00BC6D6A">
              <w:rPr>
                <w:rFonts w:cs="Times New Roman"/>
                <w:b/>
                <w:u w:val="single"/>
              </w:rPr>
              <w:t>Info Artikel</w:t>
            </w:r>
          </w:p>
        </w:tc>
        <w:tc>
          <w:tcPr>
            <w:tcW w:w="250" w:type="dxa"/>
            <w:shd w:val="clear" w:color="auto" w:fill="auto"/>
          </w:tcPr>
          <w:p w14:paraId="487A12F2" w14:textId="77777777" w:rsidR="00B46EE3" w:rsidRPr="00BC6D6A" w:rsidRDefault="00B46EE3">
            <w:pPr>
              <w:rPr>
                <w:rFonts w:cs="Times New Roman"/>
                <w:b/>
                <w:sz w:val="24"/>
                <w:szCs w:val="24"/>
              </w:rPr>
            </w:pPr>
          </w:p>
        </w:tc>
        <w:tc>
          <w:tcPr>
            <w:tcW w:w="6656" w:type="dxa"/>
            <w:shd w:val="clear" w:color="auto" w:fill="auto"/>
          </w:tcPr>
          <w:p w14:paraId="0E35AA3B" w14:textId="77777777" w:rsidR="00B46EE3" w:rsidRPr="00BC6D6A" w:rsidRDefault="00000000">
            <w:pPr>
              <w:ind w:left="-104"/>
              <w:rPr>
                <w:rFonts w:cs="Times New Roman"/>
                <w:b/>
                <w:sz w:val="22"/>
                <w:szCs w:val="22"/>
              </w:rPr>
            </w:pPr>
            <w:proofErr w:type="spellStart"/>
            <w:r w:rsidRPr="00BC6D6A">
              <w:rPr>
                <w:rFonts w:cs="Times New Roman"/>
                <w:b/>
                <w:sz w:val="22"/>
                <w:szCs w:val="22"/>
              </w:rPr>
              <w:t>Abstrak</w:t>
            </w:r>
            <w:proofErr w:type="spellEnd"/>
            <w:r w:rsidRPr="00BC6D6A">
              <w:rPr>
                <w:rFonts w:cs="Times New Roman"/>
                <w:b/>
                <w:sz w:val="22"/>
                <w:szCs w:val="22"/>
              </w:rPr>
              <w:t xml:space="preserve"> </w:t>
            </w:r>
          </w:p>
        </w:tc>
      </w:tr>
      <w:tr w:rsidR="00B46EE3" w:rsidRPr="00BC6D6A" w14:paraId="09A0C9B4" w14:textId="77777777" w:rsidTr="009B64B6">
        <w:tc>
          <w:tcPr>
            <w:tcW w:w="2025" w:type="dxa"/>
            <w:shd w:val="clear" w:color="auto" w:fill="auto"/>
          </w:tcPr>
          <w:p w14:paraId="3FE166CD" w14:textId="50C8CE07" w:rsidR="00B46EE3" w:rsidRPr="00BC6D6A" w:rsidRDefault="00000000">
            <w:pPr>
              <w:ind w:left="-108"/>
              <w:rPr>
                <w:rFonts w:cs="Times New Roman"/>
                <w:i/>
              </w:rPr>
            </w:pPr>
            <w:r w:rsidRPr="00BC6D6A">
              <w:rPr>
                <w:rFonts w:cs="Times New Roman"/>
                <w:i/>
              </w:rPr>
              <w:t xml:space="preserve">Sejarah </w:t>
            </w:r>
            <w:proofErr w:type="gramStart"/>
            <w:r w:rsidRPr="00BC6D6A">
              <w:rPr>
                <w:rFonts w:cs="Times New Roman"/>
                <w:i/>
              </w:rPr>
              <w:t>Artikel</w:t>
            </w:r>
            <w:r w:rsidR="002D4D4E" w:rsidRPr="00BC6D6A">
              <w:rPr>
                <w:rFonts w:cs="Times New Roman"/>
                <w:i/>
              </w:rPr>
              <w:t xml:space="preserve"> </w:t>
            </w:r>
            <w:r w:rsidRPr="00BC6D6A">
              <w:rPr>
                <w:rFonts w:cs="Times New Roman"/>
                <w:i/>
              </w:rPr>
              <w:t>:</w:t>
            </w:r>
            <w:proofErr w:type="gramEnd"/>
          </w:p>
        </w:tc>
        <w:tc>
          <w:tcPr>
            <w:tcW w:w="250" w:type="dxa"/>
            <w:shd w:val="clear" w:color="auto" w:fill="auto"/>
          </w:tcPr>
          <w:p w14:paraId="4531A110" w14:textId="77777777" w:rsidR="00B46EE3" w:rsidRPr="00BC6D6A" w:rsidRDefault="00B46EE3">
            <w:pPr>
              <w:rPr>
                <w:rFonts w:cs="Times New Roman"/>
                <w:sz w:val="22"/>
                <w:szCs w:val="22"/>
              </w:rPr>
            </w:pPr>
          </w:p>
        </w:tc>
        <w:tc>
          <w:tcPr>
            <w:tcW w:w="6656" w:type="dxa"/>
            <w:vMerge w:val="restart"/>
            <w:shd w:val="clear" w:color="auto" w:fill="auto"/>
          </w:tcPr>
          <w:p w14:paraId="1BFCAD72" w14:textId="7872D790" w:rsidR="00B46EE3" w:rsidRPr="00BC6D6A" w:rsidRDefault="00000000">
            <w:pPr>
              <w:ind w:left="-94" w:right="-11"/>
              <w:jc w:val="both"/>
              <w:rPr>
                <w:rFonts w:cs="Times New Roman"/>
              </w:rPr>
            </w:pPr>
            <w:bookmarkStart w:id="1" w:name="_heading=h.30j0zll" w:colFirst="0" w:colLast="0"/>
            <w:bookmarkEnd w:id="1"/>
            <w:r w:rsidRPr="00BC6D6A">
              <w:rPr>
                <w:rFonts w:cs="Times New Roman"/>
                <w:b/>
              </w:rPr>
              <w:t xml:space="preserve">Latar </w:t>
            </w:r>
            <w:proofErr w:type="spellStart"/>
            <w:proofErr w:type="gramStart"/>
            <w:r w:rsidRPr="00BC6D6A">
              <w:rPr>
                <w:rFonts w:cs="Times New Roman"/>
                <w:b/>
              </w:rPr>
              <w:t>belakang</w:t>
            </w:r>
            <w:proofErr w:type="spellEnd"/>
            <w:r w:rsidRPr="00BC6D6A">
              <w:rPr>
                <w:rFonts w:cs="Times New Roman"/>
                <w:b/>
              </w:rPr>
              <w:t xml:space="preserve"> :</w:t>
            </w:r>
            <w:proofErr w:type="gram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profilaksis</w:t>
            </w:r>
            <w:proofErr w:type="spellEnd"/>
            <w:r w:rsidRPr="00BC6D6A">
              <w:rPr>
                <w:rFonts w:cs="Times New Roman"/>
              </w:rPr>
              <w:t xml:space="preserve"> </w:t>
            </w:r>
            <w:proofErr w:type="spellStart"/>
            <w:r w:rsidRPr="00BC6D6A">
              <w:rPr>
                <w:rFonts w:cs="Times New Roman"/>
              </w:rPr>
              <w:t>digunakan</w:t>
            </w:r>
            <w:proofErr w:type="spellEnd"/>
            <w:r w:rsidRPr="00BC6D6A">
              <w:rPr>
                <w:rFonts w:cs="Times New Roman"/>
              </w:rPr>
              <w:t xml:space="preserve"> </w:t>
            </w:r>
            <w:proofErr w:type="spellStart"/>
            <w:r w:rsidRPr="00BC6D6A">
              <w:rPr>
                <w:rFonts w:cs="Times New Roman"/>
              </w:rPr>
              <w:t>untuk</w:t>
            </w:r>
            <w:proofErr w:type="spellEnd"/>
            <w:r w:rsidRPr="00BC6D6A">
              <w:rPr>
                <w:rFonts w:cs="Times New Roman"/>
              </w:rPr>
              <w:t xml:space="preserve"> </w:t>
            </w:r>
            <w:proofErr w:type="spellStart"/>
            <w:r w:rsidRPr="00BC6D6A">
              <w:rPr>
                <w:rFonts w:cs="Times New Roman"/>
              </w:rPr>
              <w:t>mencegah</w:t>
            </w:r>
            <w:proofErr w:type="spellEnd"/>
            <w:r w:rsidRPr="00BC6D6A">
              <w:rPr>
                <w:rFonts w:cs="Times New Roman"/>
              </w:rPr>
              <w:t xml:space="preserve"> </w:t>
            </w:r>
            <w:proofErr w:type="spellStart"/>
            <w:r w:rsidRPr="00BC6D6A">
              <w:rPr>
                <w:rFonts w:cs="Times New Roman"/>
              </w:rPr>
              <w:t>terjadinya</w:t>
            </w:r>
            <w:proofErr w:type="spellEnd"/>
            <w:r w:rsidRPr="00BC6D6A">
              <w:rPr>
                <w:rFonts w:cs="Times New Roman"/>
              </w:rPr>
              <w:t xml:space="preserve"> </w:t>
            </w:r>
            <w:proofErr w:type="spellStart"/>
            <w:r w:rsidRPr="00BC6D6A">
              <w:rPr>
                <w:rFonts w:cs="Times New Roman"/>
              </w:rPr>
              <w:t>infeksi</w:t>
            </w:r>
            <w:proofErr w:type="spellEnd"/>
            <w:r w:rsidRPr="00BC6D6A">
              <w:rPr>
                <w:rFonts w:cs="Times New Roman"/>
              </w:rPr>
              <w:t xml:space="preserve"> pada </w:t>
            </w:r>
            <w:proofErr w:type="spellStart"/>
            <w:r w:rsidRPr="00BC6D6A">
              <w:rPr>
                <w:rFonts w:cs="Times New Roman"/>
              </w:rPr>
              <w:t>waktu</w:t>
            </w:r>
            <w:proofErr w:type="spellEnd"/>
            <w:r w:rsidRPr="00BC6D6A">
              <w:rPr>
                <w:rFonts w:cs="Times New Roman"/>
              </w:rPr>
              <w:t xml:space="preserve"> </w:t>
            </w:r>
            <w:proofErr w:type="spellStart"/>
            <w:r w:rsidRPr="00BC6D6A">
              <w:rPr>
                <w:rFonts w:cs="Times New Roman"/>
              </w:rPr>
              <w:t>tertentu</w:t>
            </w:r>
            <w:proofErr w:type="spellEnd"/>
            <w:r w:rsidRPr="00BC6D6A">
              <w:rPr>
                <w:rFonts w:cs="Times New Roman"/>
              </w:rPr>
              <w:t xml:space="preserve"> </w:t>
            </w:r>
            <w:proofErr w:type="spellStart"/>
            <w:r w:rsidRPr="00BC6D6A">
              <w:rPr>
                <w:rFonts w:cs="Times New Roman"/>
              </w:rPr>
              <w:t>dengan</w:t>
            </w:r>
            <w:proofErr w:type="spellEnd"/>
            <w:r w:rsidRPr="00BC6D6A">
              <w:rPr>
                <w:rFonts w:cs="Times New Roman"/>
              </w:rPr>
              <w:t xml:space="preserve"> </w:t>
            </w:r>
            <w:proofErr w:type="spellStart"/>
            <w:r w:rsidRPr="00BC6D6A">
              <w:rPr>
                <w:rFonts w:cs="Times New Roman"/>
              </w:rPr>
              <w:t>durasi</w:t>
            </w:r>
            <w:proofErr w:type="spellEnd"/>
            <w:r w:rsidRPr="00BC6D6A">
              <w:rPr>
                <w:rFonts w:cs="Times New Roman"/>
              </w:rPr>
              <w:t xml:space="preserve"> </w:t>
            </w:r>
            <w:proofErr w:type="spellStart"/>
            <w:r w:rsidRPr="00BC6D6A">
              <w:rPr>
                <w:rFonts w:cs="Times New Roman"/>
              </w:rPr>
              <w:t>pendek</w:t>
            </w:r>
            <w:proofErr w:type="spellEnd"/>
            <w:r w:rsidRPr="00BC6D6A">
              <w:rPr>
                <w:rFonts w:cs="Times New Roman"/>
              </w:rPr>
              <w:t xml:space="preserve"> </w:t>
            </w:r>
            <w:proofErr w:type="spellStart"/>
            <w:r w:rsidRPr="00BC6D6A">
              <w:rPr>
                <w:rFonts w:cs="Times New Roman"/>
              </w:rPr>
              <w:t>untuk</w:t>
            </w:r>
            <w:proofErr w:type="spellEnd"/>
            <w:r w:rsidRPr="00BC6D6A">
              <w:rPr>
                <w:rFonts w:cs="Times New Roman"/>
              </w:rPr>
              <w:t xml:space="preserve"> </w:t>
            </w:r>
            <w:proofErr w:type="spellStart"/>
            <w:r w:rsidRPr="00BC6D6A">
              <w:rPr>
                <w:rFonts w:cs="Times New Roman"/>
              </w:rPr>
              <w:t>melawan</w:t>
            </w:r>
            <w:proofErr w:type="spellEnd"/>
            <w:r w:rsidRPr="00BC6D6A">
              <w:rPr>
                <w:rFonts w:cs="Times New Roman"/>
              </w:rPr>
              <w:t xml:space="preserve"> </w:t>
            </w:r>
            <w:proofErr w:type="spellStart"/>
            <w:r w:rsidRPr="00BC6D6A">
              <w:rPr>
                <w:rFonts w:cs="Times New Roman"/>
              </w:rPr>
              <w:t>patogen</w:t>
            </w:r>
            <w:proofErr w:type="spellEnd"/>
            <w:r w:rsidRPr="00BC6D6A">
              <w:rPr>
                <w:rFonts w:cs="Times New Roman"/>
              </w:rPr>
              <w:t xml:space="preserve"> </w:t>
            </w:r>
            <w:proofErr w:type="spellStart"/>
            <w:r w:rsidRPr="00BC6D6A">
              <w:rPr>
                <w:rFonts w:cs="Times New Roman"/>
              </w:rPr>
              <w:t>tunggal</w:t>
            </w:r>
            <w:proofErr w:type="spellEnd"/>
            <w:r w:rsidRPr="00BC6D6A">
              <w:rPr>
                <w:rFonts w:cs="Times New Roman"/>
              </w:rPr>
              <w:t xml:space="preserve"> dan </w:t>
            </w:r>
            <w:proofErr w:type="spellStart"/>
            <w:r w:rsidRPr="00BC6D6A">
              <w:rPr>
                <w:rFonts w:cs="Times New Roman"/>
              </w:rPr>
              <w:t>menghalangi</w:t>
            </w:r>
            <w:proofErr w:type="spellEnd"/>
            <w:r w:rsidRPr="00BC6D6A">
              <w:rPr>
                <w:rFonts w:cs="Times New Roman"/>
              </w:rPr>
              <w:t xml:space="preserve"> </w:t>
            </w:r>
            <w:proofErr w:type="spellStart"/>
            <w:r w:rsidRPr="00BC6D6A">
              <w:rPr>
                <w:rFonts w:cs="Times New Roman"/>
              </w:rPr>
              <w:t>terjadinya</w:t>
            </w:r>
            <w:proofErr w:type="spellEnd"/>
            <w:r w:rsidRPr="00BC6D6A">
              <w:rPr>
                <w:rFonts w:cs="Times New Roman"/>
              </w:rPr>
              <w:t xml:space="preserve"> </w:t>
            </w:r>
            <w:proofErr w:type="spellStart"/>
            <w:r w:rsidRPr="00BC6D6A">
              <w:rPr>
                <w:rFonts w:cs="Times New Roman"/>
              </w:rPr>
              <w:t>komplikasi</w:t>
            </w:r>
            <w:proofErr w:type="spellEnd"/>
            <w:r w:rsidRPr="00BC6D6A">
              <w:rPr>
                <w:rFonts w:cs="Times New Roman"/>
              </w:rPr>
              <w:t xml:space="preserve"> </w:t>
            </w:r>
            <w:proofErr w:type="spellStart"/>
            <w:r w:rsidRPr="00BC6D6A">
              <w:rPr>
                <w:rFonts w:cs="Times New Roman"/>
              </w:rPr>
              <w:t>bakteri</w:t>
            </w:r>
            <w:proofErr w:type="spellEnd"/>
            <w:r w:rsidRPr="00BC6D6A">
              <w:rPr>
                <w:rFonts w:cs="Times New Roman"/>
              </w:rPr>
              <w:t xml:space="preserve"> </w:t>
            </w:r>
            <w:proofErr w:type="spellStart"/>
            <w:r w:rsidRPr="00BC6D6A">
              <w:rPr>
                <w:rFonts w:cs="Times New Roman"/>
              </w:rPr>
              <w:t>atau</w:t>
            </w:r>
            <w:proofErr w:type="spellEnd"/>
            <w:r w:rsidRPr="00BC6D6A">
              <w:rPr>
                <w:rFonts w:cs="Times New Roman"/>
              </w:rPr>
              <w:t xml:space="preserve"> </w:t>
            </w:r>
            <w:proofErr w:type="spellStart"/>
            <w:r w:rsidRPr="00BC6D6A">
              <w:rPr>
                <w:rFonts w:cs="Times New Roman"/>
              </w:rPr>
              <w:t>infeksi</w:t>
            </w:r>
            <w:proofErr w:type="spellEnd"/>
            <w:r w:rsidRPr="00BC6D6A">
              <w:rPr>
                <w:rFonts w:cs="Times New Roman"/>
              </w:rPr>
              <w:t xml:space="preserve"> </w:t>
            </w:r>
            <w:proofErr w:type="spellStart"/>
            <w:r w:rsidRPr="00BC6D6A">
              <w:rPr>
                <w:rFonts w:cs="Times New Roman"/>
              </w:rPr>
              <w:t>luka</w:t>
            </w:r>
            <w:proofErr w:type="spellEnd"/>
            <w:r w:rsidRPr="00BC6D6A">
              <w:rPr>
                <w:rFonts w:cs="Times New Roman"/>
              </w:rPr>
              <w:t xml:space="preserve"> </w:t>
            </w:r>
            <w:proofErr w:type="spellStart"/>
            <w:r w:rsidRPr="00BC6D6A">
              <w:rPr>
                <w:rFonts w:cs="Times New Roman"/>
              </w:rPr>
              <w:t>operasi</w:t>
            </w:r>
            <w:proofErr w:type="spellEnd"/>
            <w:r w:rsidRPr="00BC6D6A">
              <w:rPr>
                <w:rFonts w:cs="Times New Roman"/>
              </w:rPr>
              <w:t xml:space="preserve"> (ILO). Bedah digestif </w:t>
            </w:r>
            <w:proofErr w:type="spellStart"/>
            <w:r w:rsidRPr="00BC6D6A">
              <w:rPr>
                <w:rFonts w:cs="Times New Roman"/>
              </w:rPr>
              <w:t>memiliki</w:t>
            </w:r>
            <w:proofErr w:type="spellEnd"/>
            <w:r w:rsidRPr="00BC6D6A">
              <w:rPr>
                <w:rFonts w:cs="Times New Roman"/>
              </w:rPr>
              <w:t xml:space="preserve"> </w:t>
            </w:r>
            <w:proofErr w:type="spellStart"/>
            <w:r w:rsidRPr="00BC6D6A">
              <w:rPr>
                <w:rFonts w:cs="Times New Roman"/>
              </w:rPr>
              <w:t>potensi</w:t>
            </w:r>
            <w:proofErr w:type="spellEnd"/>
            <w:r w:rsidRPr="00BC6D6A">
              <w:rPr>
                <w:rFonts w:cs="Times New Roman"/>
              </w:rPr>
              <w:t xml:space="preserve"> paling </w:t>
            </w:r>
            <w:proofErr w:type="spellStart"/>
            <w:r w:rsidRPr="00BC6D6A">
              <w:rPr>
                <w:rFonts w:cs="Times New Roman"/>
              </w:rPr>
              <w:t>tinggi</w:t>
            </w:r>
            <w:proofErr w:type="spellEnd"/>
            <w:r w:rsidRPr="00BC6D6A">
              <w:rPr>
                <w:rFonts w:cs="Times New Roman"/>
              </w:rPr>
              <w:t xml:space="preserve"> </w:t>
            </w:r>
            <w:proofErr w:type="spellStart"/>
            <w:r w:rsidRPr="00BC6D6A">
              <w:rPr>
                <w:rFonts w:cs="Times New Roman"/>
              </w:rPr>
              <w:t>terkena</w:t>
            </w:r>
            <w:proofErr w:type="spellEnd"/>
            <w:r w:rsidRPr="00BC6D6A">
              <w:rPr>
                <w:rFonts w:cs="Times New Roman"/>
              </w:rPr>
              <w:t xml:space="preserve"> </w:t>
            </w:r>
            <w:proofErr w:type="spellStart"/>
            <w:r w:rsidRPr="00BC6D6A">
              <w:rPr>
                <w:rFonts w:cs="Times New Roman"/>
              </w:rPr>
              <w:t>infeksi</w:t>
            </w:r>
            <w:proofErr w:type="spellEnd"/>
            <w:r w:rsidRPr="00BC6D6A">
              <w:rPr>
                <w:rFonts w:cs="Times New Roman"/>
              </w:rPr>
              <w:t xml:space="preserve"> </w:t>
            </w:r>
            <w:proofErr w:type="spellStart"/>
            <w:r w:rsidRPr="00BC6D6A">
              <w:rPr>
                <w:rFonts w:cs="Times New Roman"/>
              </w:rPr>
              <w:t>luka</w:t>
            </w:r>
            <w:proofErr w:type="spellEnd"/>
            <w:r w:rsidRPr="00BC6D6A">
              <w:rPr>
                <w:rFonts w:cs="Times New Roman"/>
              </w:rPr>
              <w:t xml:space="preserve"> </w:t>
            </w:r>
            <w:proofErr w:type="spellStart"/>
            <w:r w:rsidRPr="00BC6D6A">
              <w:rPr>
                <w:rFonts w:cs="Times New Roman"/>
              </w:rPr>
              <w:t>operasi</w:t>
            </w:r>
            <w:proofErr w:type="spellEnd"/>
            <w:r w:rsidRPr="00BC6D6A">
              <w:rPr>
                <w:rFonts w:cs="Times New Roman"/>
              </w:rPr>
              <w:t xml:space="preserve"> (ILO). </w:t>
            </w:r>
            <w:proofErr w:type="spellStart"/>
            <w:r w:rsidRPr="00BC6D6A">
              <w:rPr>
                <w:rFonts w:cs="Times New Roman"/>
              </w:rPr>
              <w:t>Penggunaan</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profilaksis</w:t>
            </w:r>
            <w:proofErr w:type="spellEnd"/>
            <w:r w:rsidRPr="00BC6D6A">
              <w:rPr>
                <w:rFonts w:cs="Times New Roman"/>
              </w:rPr>
              <w:t xml:space="preserve"> </w:t>
            </w:r>
            <w:proofErr w:type="spellStart"/>
            <w:r w:rsidRPr="00BC6D6A">
              <w:rPr>
                <w:rFonts w:cs="Times New Roman"/>
              </w:rPr>
              <w:t>dapat</w:t>
            </w:r>
            <w:proofErr w:type="spellEnd"/>
            <w:r w:rsidRPr="00BC6D6A">
              <w:rPr>
                <w:rFonts w:cs="Times New Roman"/>
              </w:rPr>
              <w:t xml:space="preserve"> </w:t>
            </w:r>
            <w:proofErr w:type="spellStart"/>
            <w:r w:rsidRPr="00BC6D6A">
              <w:rPr>
                <w:rFonts w:cs="Times New Roman"/>
              </w:rPr>
              <w:t>efektif</w:t>
            </w:r>
            <w:proofErr w:type="spellEnd"/>
            <w:r w:rsidRPr="00BC6D6A">
              <w:rPr>
                <w:rFonts w:cs="Times New Roman"/>
              </w:rPr>
              <w:t xml:space="preserve"> </w:t>
            </w:r>
            <w:proofErr w:type="spellStart"/>
            <w:r w:rsidRPr="00BC6D6A">
              <w:rPr>
                <w:rFonts w:cs="Times New Roman"/>
              </w:rPr>
              <w:t>mencegah</w:t>
            </w:r>
            <w:proofErr w:type="spellEnd"/>
            <w:r w:rsidRPr="00BC6D6A">
              <w:rPr>
                <w:rFonts w:cs="Times New Roman"/>
              </w:rPr>
              <w:t xml:space="preserve"> </w:t>
            </w:r>
            <w:proofErr w:type="spellStart"/>
            <w:r w:rsidRPr="00BC6D6A">
              <w:rPr>
                <w:rFonts w:cs="Times New Roman"/>
              </w:rPr>
              <w:t>terjadinya</w:t>
            </w:r>
            <w:proofErr w:type="spellEnd"/>
            <w:r w:rsidRPr="00BC6D6A">
              <w:rPr>
                <w:rFonts w:cs="Times New Roman"/>
              </w:rPr>
              <w:t xml:space="preserve"> ILO </w:t>
            </w:r>
            <w:proofErr w:type="spellStart"/>
            <w:r w:rsidRPr="00BC6D6A">
              <w:rPr>
                <w:rFonts w:cs="Times New Roman"/>
              </w:rPr>
              <w:t>dengan</w:t>
            </w:r>
            <w:proofErr w:type="spellEnd"/>
            <w:r w:rsidRPr="00BC6D6A">
              <w:rPr>
                <w:rFonts w:cs="Times New Roman"/>
              </w:rPr>
              <w:t xml:space="preserve"> </w:t>
            </w:r>
            <w:proofErr w:type="spellStart"/>
            <w:r w:rsidRPr="00BC6D6A">
              <w:rPr>
                <w:rFonts w:cs="Times New Roman"/>
              </w:rPr>
              <w:t>pemilihan</w:t>
            </w:r>
            <w:proofErr w:type="spellEnd"/>
            <w:r w:rsidRPr="00BC6D6A">
              <w:rPr>
                <w:rFonts w:cs="Times New Roman"/>
              </w:rPr>
              <w:t xml:space="preserve"> </w:t>
            </w:r>
            <w:proofErr w:type="spellStart"/>
            <w:r w:rsidRPr="00BC6D6A">
              <w:rPr>
                <w:rFonts w:cs="Times New Roman"/>
              </w:rPr>
              <w:t>anitbiotik</w:t>
            </w:r>
            <w:proofErr w:type="spellEnd"/>
            <w:r w:rsidRPr="00BC6D6A">
              <w:rPr>
                <w:rFonts w:cs="Times New Roman"/>
              </w:rPr>
              <w:t xml:space="preserve"> yang </w:t>
            </w:r>
            <w:proofErr w:type="spellStart"/>
            <w:r w:rsidRPr="00BC6D6A">
              <w:rPr>
                <w:rFonts w:cs="Times New Roman"/>
              </w:rPr>
              <w:t>tepat</w:t>
            </w:r>
            <w:proofErr w:type="spellEnd"/>
            <w:r w:rsidRPr="00BC6D6A">
              <w:rPr>
                <w:rFonts w:cs="Times New Roman"/>
              </w:rPr>
              <w:t xml:space="preserve"> dan </w:t>
            </w:r>
            <w:proofErr w:type="spellStart"/>
            <w:r w:rsidRPr="00BC6D6A">
              <w:rPr>
                <w:rFonts w:cs="Times New Roman"/>
              </w:rPr>
              <w:t>rasional</w:t>
            </w:r>
            <w:proofErr w:type="spellEnd"/>
            <w:r w:rsidRPr="00BC6D6A">
              <w:rPr>
                <w:rFonts w:cs="Times New Roman"/>
              </w:rPr>
              <w:t xml:space="preserve">. </w:t>
            </w:r>
            <w:proofErr w:type="gramStart"/>
            <w:r w:rsidRPr="00BC6D6A">
              <w:rPr>
                <w:rFonts w:cs="Times New Roman"/>
                <w:b/>
              </w:rPr>
              <w:t>Tujuan :</w:t>
            </w:r>
            <w:proofErr w:type="gramEnd"/>
            <w:r w:rsidRPr="00BC6D6A">
              <w:rPr>
                <w:rFonts w:cs="Times New Roman"/>
              </w:rPr>
              <w:t xml:space="preserve"> </w:t>
            </w:r>
            <w:proofErr w:type="spellStart"/>
            <w:r w:rsidRPr="00BC6D6A">
              <w:rPr>
                <w:rFonts w:cs="Times New Roman"/>
              </w:rPr>
              <w:t>Penelitian</w:t>
            </w:r>
            <w:proofErr w:type="spellEnd"/>
            <w:r w:rsidRPr="00BC6D6A">
              <w:rPr>
                <w:rFonts w:cs="Times New Roman"/>
              </w:rPr>
              <w:t xml:space="preserve"> </w:t>
            </w:r>
            <w:proofErr w:type="spellStart"/>
            <w:r w:rsidRPr="00BC6D6A">
              <w:rPr>
                <w:rFonts w:cs="Times New Roman"/>
              </w:rPr>
              <w:t>ini</w:t>
            </w:r>
            <w:proofErr w:type="spellEnd"/>
            <w:r w:rsidRPr="00BC6D6A">
              <w:rPr>
                <w:rFonts w:cs="Times New Roman"/>
              </w:rPr>
              <w:t xml:space="preserve"> </w:t>
            </w:r>
            <w:proofErr w:type="spellStart"/>
            <w:r w:rsidRPr="00BC6D6A">
              <w:rPr>
                <w:rFonts w:cs="Times New Roman"/>
              </w:rPr>
              <w:t>bertujuan</w:t>
            </w:r>
            <w:proofErr w:type="spellEnd"/>
            <w:r w:rsidRPr="00BC6D6A">
              <w:rPr>
                <w:rFonts w:cs="Times New Roman"/>
              </w:rPr>
              <w:t xml:space="preserve"> </w:t>
            </w:r>
            <w:proofErr w:type="spellStart"/>
            <w:r w:rsidRPr="00BC6D6A">
              <w:rPr>
                <w:rFonts w:cs="Times New Roman"/>
              </w:rPr>
              <w:t>untuk</w:t>
            </w:r>
            <w:proofErr w:type="spellEnd"/>
            <w:r w:rsidRPr="00BC6D6A">
              <w:rPr>
                <w:rFonts w:cs="Times New Roman"/>
              </w:rPr>
              <w:t xml:space="preserve"> </w:t>
            </w:r>
            <w:proofErr w:type="spellStart"/>
            <w:r w:rsidRPr="00BC6D6A">
              <w:rPr>
                <w:rFonts w:cs="Times New Roman"/>
              </w:rPr>
              <w:t>mengetahui</w:t>
            </w:r>
            <w:proofErr w:type="spellEnd"/>
            <w:r w:rsidRPr="00BC6D6A">
              <w:rPr>
                <w:rFonts w:cs="Times New Roman"/>
              </w:rPr>
              <w:t xml:space="preserve"> </w:t>
            </w:r>
            <w:proofErr w:type="spellStart"/>
            <w:r w:rsidRPr="00BC6D6A">
              <w:rPr>
                <w:rFonts w:cs="Times New Roman"/>
              </w:rPr>
              <w:t>profil</w:t>
            </w:r>
            <w:proofErr w:type="spellEnd"/>
            <w:r w:rsidRPr="00BC6D6A">
              <w:rPr>
                <w:rFonts w:cs="Times New Roman"/>
              </w:rPr>
              <w:t xml:space="preserve"> </w:t>
            </w:r>
            <w:proofErr w:type="spellStart"/>
            <w:r w:rsidRPr="00BC6D6A">
              <w:rPr>
                <w:rFonts w:cs="Times New Roman"/>
              </w:rPr>
              <w:t>penggunaan</w:t>
            </w:r>
            <w:proofErr w:type="spellEnd"/>
            <w:r w:rsidRPr="00BC6D6A">
              <w:rPr>
                <w:rFonts w:cs="Times New Roman"/>
              </w:rPr>
              <w:t xml:space="preserve"> dan </w:t>
            </w:r>
            <w:proofErr w:type="spellStart"/>
            <w:r w:rsidRPr="00BC6D6A">
              <w:rPr>
                <w:rFonts w:cs="Times New Roman"/>
              </w:rPr>
              <w:t>kualitas</w:t>
            </w:r>
            <w:proofErr w:type="spellEnd"/>
            <w:r w:rsidRPr="00BC6D6A">
              <w:rPr>
                <w:rFonts w:cs="Times New Roman"/>
              </w:rPr>
              <w:t xml:space="preserve"> </w:t>
            </w:r>
            <w:proofErr w:type="spellStart"/>
            <w:r w:rsidRPr="00BC6D6A">
              <w:rPr>
                <w:rFonts w:cs="Times New Roman"/>
              </w:rPr>
              <w:t>penggunaan</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profilais</w:t>
            </w:r>
            <w:proofErr w:type="spellEnd"/>
            <w:r w:rsidRPr="00BC6D6A">
              <w:rPr>
                <w:rFonts w:cs="Times New Roman"/>
              </w:rPr>
              <w:t xml:space="preserve"> pada </w:t>
            </w:r>
            <w:proofErr w:type="spellStart"/>
            <w:r w:rsidRPr="00BC6D6A">
              <w:rPr>
                <w:rFonts w:cs="Times New Roman"/>
              </w:rPr>
              <w:t>pasien</w:t>
            </w:r>
            <w:proofErr w:type="spellEnd"/>
            <w:r w:rsidRPr="00BC6D6A">
              <w:rPr>
                <w:rFonts w:cs="Times New Roman"/>
              </w:rPr>
              <w:t xml:space="preserve"> </w:t>
            </w:r>
            <w:proofErr w:type="spellStart"/>
            <w:r w:rsidRPr="00BC6D6A">
              <w:rPr>
                <w:rFonts w:cs="Times New Roman"/>
              </w:rPr>
              <w:t>bedah</w:t>
            </w:r>
            <w:proofErr w:type="spellEnd"/>
            <w:r w:rsidRPr="00BC6D6A">
              <w:rPr>
                <w:rFonts w:cs="Times New Roman"/>
              </w:rPr>
              <w:t xml:space="preserve"> digestif yang </w:t>
            </w:r>
            <w:proofErr w:type="spellStart"/>
            <w:r w:rsidRPr="00BC6D6A">
              <w:rPr>
                <w:rFonts w:cs="Times New Roman"/>
              </w:rPr>
              <w:t>memenuhi</w:t>
            </w:r>
            <w:proofErr w:type="spellEnd"/>
            <w:r w:rsidRPr="00BC6D6A">
              <w:rPr>
                <w:rFonts w:cs="Times New Roman"/>
              </w:rPr>
              <w:t xml:space="preserve"> </w:t>
            </w:r>
            <w:proofErr w:type="spellStart"/>
            <w:r w:rsidRPr="00BC6D6A">
              <w:rPr>
                <w:rFonts w:cs="Times New Roman"/>
              </w:rPr>
              <w:t>kriteria</w:t>
            </w:r>
            <w:proofErr w:type="spellEnd"/>
            <w:r w:rsidRPr="00BC6D6A">
              <w:rPr>
                <w:rFonts w:cs="Times New Roman"/>
              </w:rPr>
              <w:t xml:space="preserve"> </w:t>
            </w:r>
            <w:proofErr w:type="spellStart"/>
            <w:r w:rsidRPr="00BC6D6A">
              <w:rPr>
                <w:rFonts w:cs="Times New Roman"/>
              </w:rPr>
              <w:t>inklusi</w:t>
            </w:r>
            <w:proofErr w:type="spellEnd"/>
            <w:r w:rsidRPr="00BC6D6A">
              <w:rPr>
                <w:rFonts w:cs="Times New Roman"/>
              </w:rPr>
              <w:t xml:space="preserve"> dan </w:t>
            </w:r>
            <w:proofErr w:type="spellStart"/>
            <w:r w:rsidRPr="00BC6D6A">
              <w:rPr>
                <w:rFonts w:cs="Times New Roman"/>
              </w:rPr>
              <w:t>eksklusi</w:t>
            </w:r>
            <w:proofErr w:type="spellEnd"/>
            <w:r w:rsidRPr="00BC6D6A">
              <w:rPr>
                <w:rFonts w:cs="Times New Roman"/>
              </w:rPr>
              <w:t xml:space="preserve">. </w:t>
            </w:r>
            <w:proofErr w:type="gramStart"/>
            <w:r w:rsidRPr="00BC6D6A">
              <w:rPr>
                <w:rFonts w:cs="Times New Roman"/>
                <w:b/>
              </w:rPr>
              <w:t>Metode :</w:t>
            </w:r>
            <w:proofErr w:type="gramEnd"/>
            <w:r w:rsidRPr="00BC6D6A">
              <w:rPr>
                <w:rFonts w:cs="Times New Roman"/>
              </w:rPr>
              <w:t xml:space="preserve"> </w:t>
            </w:r>
            <w:proofErr w:type="spellStart"/>
            <w:r w:rsidRPr="00BC6D6A">
              <w:rPr>
                <w:rFonts w:cs="Times New Roman"/>
              </w:rPr>
              <w:t>Pengambilan</w:t>
            </w:r>
            <w:proofErr w:type="spellEnd"/>
            <w:r w:rsidRPr="00BC6D6A">
              <w:rPr>
                <w:rFonts w:cs="Times New Roman"/>
              </w:rPr>
              <w:t xml:space="preserve"> data </w:t>
            </w:r>
            <w:proofErr w:type="spellStart"/>
            <w:r w:rsidRPr="00BC6D6A">
              <w:rPr>
                <w:rFonts w:cs="Times New Roman"/>
              </w:rPr>
              <w:t>dilakukan</w:t>
            </w:r>
            <w:proofErr w:type="spellEnd"/>
            <w:r w:rsidRPr="00BC6D6A">
              <w:rPr>
                <w:rFonts w:cs="Times New Roman"/>
              </w:rPr>
              <w:t xml:space="preserve"> </w:t>
            </w:r>
            <w:proofErr w:type="spellStart"/>
            <w:r w:rsidRPr="00BC6D6A">
              <w:rPr>
                <w:rFonts w:cs="Times New Roman"/>
              </w:rPr>
              <w:t>secara</w:t>
            </w:r>
            <w:proofErr w:type="spellEnd"/>
            <w:r w:rsidRPr="00BC6D6A">
              <w:rPr>
                <w:rFonts w:cs="Times New Roman"/>
              </w:rPr>
              <w:t xml:space="preserve"> </w:t>
            </w:r>
            <w:proofErr w:type="spellStart"/>
            <w:r w:rsidRPr="00BC6D6A">
              <w:rPr>
                <w:rFonts w:cs="Times New Roman"/>
              </w:rPr>
              <w:t>retrospektif</w:t>
            </w:r>
            <w:proofErr w:type="spellEnd"/>
            <w:r w:rsidRPr="00BC6D6A">
              <w:rPr>
                <w:rFonts w:cs="Times New Roman"/>
              </w:rPr>
              <w:t xml:space="preserve"> </w:t>
            </w:r>
            <w:proofErr w:type="spellStart"/>
            <w:r w:rsidRPr="00BC6D6A">
              <w:rPr>
                <w:rFonts w:cs="Times New Roman"/>
              </w:rPr>
              <w:t>dari</w:t>
            </w:r>
            <w:proofErr w:type="spellEnd"/>
            <w:r w:rsidRPr="00BC6D6A">
              <w:rPr>
                <w:rFonts w:cs="Times New Roman"/>
              </w:rPr>
              <w:t xml:space="preserve"> </w:t>
            </w:r>
            <w:proofErr w:type="spellStart"/>
            <w:r w:rsidRPr="00BC6D6A">
              <w:rPr>
                <w:rFonts w:cs="Times New Roman"/>
              </w:rPr>
              <w:t>rekam</w:t>
            </w:r>
            <w:proofErr w:type="spellEnd"/>
            <w:r w:rsidRPr="00BC6D6A">
              <w:rPr>
                <w:rFonts w:cs="Times New Roman"/>
              </w:rPr>
              <w:t xml:space="preserve"> </w:t>
            </w:r>
            <w:proofErr w:type="spellStart"/>
            <w:r w:rsidRPr="00BC6D6A">
              <w:rPr>
                <w:rFonts w:cs="Times New Roman"/>
              </w:rPr>
              <w:t>medis</w:t>
            </w:r>
            <w:proofErr w:type="spellEnd"/>
            <w:r w:rsidRPr="00BC6D6A">
              <w:rPr>
                <w:rFonts w:cs="Times New Roman"/>
              </w:rPr>
              <w:t xml:space="preserve"> </w:t>
            </w:r>
            <w:proofErr w:type="spellStart"/>
            <w:r w:rsidRPr="00BC6D6A">
              <w:rPr>
                <w:rFonts w:cs="Times New Roman"/>
              </w:rPr>
              <w:t>pasien</w:t>
            </w:r>
            <w:proofErr w:type="spellEnd"/>
            <w:r w:rsidRPr="00BC6D6A">
              <w:rPr>
                <w:rFonts w:cs="Times New Roman"/>
              </w:rPr>
              <w:t xml:space="preserve"> </w:t>
            </w:r>
            <w:proofErr w:type="spellStart"/>
            <w:r w:rsidRPr="00BC6D6A">
              <w:rPr>
                <w:rFonts w:cs="Times New Roman"/>
              </w:rPr>
              <w:t>bedah</w:t>
            </w:r>
            <w:proofErr w:type="spellEnd"/>
            <w:r w:rsidRPr="00BC6D6A">
              <w:rPr>
                <w:rFonts w:cs="Times New Roman"/>
              </w:rPr>
              <w:t xml:space="preserve"> digestif </w:t>
            </w:r>
            <w:proofErr w:type="spellStart"/>
            <w:r w:rsidRPr="00BC6D6A">
              <w:rPr>
                <w:rFonts w:cs="Times New Roman"/>
              </w:rPr>
              <w:t>tahun</w:t>
            </w:r>
            <w:proofErr w:type="spellEnd"/>
            <w:r w:rsidRPr="00BC6D6A">
              <w:rPr>
                <w:rFonts w:cs="Times New Roman"/>
              </w:rPr>
              <w:t xml:space="preserve"> 2023 di Rumah Sakit X </w:t>
            </w:r>
            <w:proofErr w:type="spellStart"/>
            <w:r w:rsidRPr="00BC6D6A">
              <w:rPr>
                <w:rFonts w:cs="Times New Roman"/>
              </w:rPr>
              <w:t>Tasikmalaya</w:t>
            </w:r>
            <w:proofErr w:type="spellEnd"/>
            <w:r w:rsidRPr="00BC6D6A">
              <w:rPr>
                <w:rFonts w:cs="Times New Roman"/>
              </w:rPr>
              <w:t xml:space="preserve">. </w:t>
            </w:r>
            <w:proofErr w:type="spellStart"/>
            <w:r w:rsidRPr="00BC6D6A">
              <w:rPr>
                <w:rFonts w:cs="Times New Roman"/>
              </w:rPr>
              <w:t>Terdapat</w:t>
            </w:r>
            <w:proofErr w:type="spellEnd"/>
            <w:r w:rsidRPr="00BC6D6A">
              <w:rPr>
                <w:rFonts w:cs="Times New Roman"/>
              </w:rPr>
              <w:t xml:space="preserve"> 94 </w:t>
            </w:r>
            <w:proofErr w:type="spellStart"/>
            <w:r w:rsidRPr="00BC6D6A">
              <w:rPr>
                <w:rFonts w:cs="Times New Roman"/>
              </w:rPr>
              <w:t>pasien</w:t>
            </w:r>
            <w:proofErr w:type="spellEnd"/>
            <w:r w:rsidRPr="00BC6D6A">
              <w:rPr>
                <w:rFonts w:cs="Times New Roman"/>
              </w:rPr>
              <w:t xml:space="preserve"> yang </w:t>
            </w:r>
            <w:proofErr w:type="spellStart"/>
            <w:r w:rsidRPr="00BC6D6A">
              <w:rPr>
                <w:rFonts w:cs="Times New Roman"/>
              </w:rPr>
              <w:t>menjalani</w:t>
            </w:r>
            <w:proofErr w:type="spellEnd"/>
            <w:r w:rsidRPr="00BC6D6A">
              <w:rPr>
                <w:rFonts w:cs="Times New Roman"/>
              </w:rPr>
              <w:t xml:space="preserve"> </w:t>
            </w:r>
            <w:proofErr w:type="spellStart"/>
            <w:r w:rsidRPr="00BC6D6A">
              <w:rPr>
                <w:rFonts w:cs="Times New Roman"/>
              </w:rPr>
              <w:t>bedah</w:t>
            </w:r>
            <w:proofErr w:type="spellEnd"/>
            <w:r w:rsidRPr="00BC6D6A">
              <w:rPr>
                <w:rFonts w:cs="Times New Roman"/>
              </w:rPr>
              <w:t xml:space="preserve"> digestif yang </w:t>
            </w:r>
            <w:proofErr w:type="spellStart"/>
            <w:r w:rsidRPr="00BC6D6A">
              <w:rPr>
                <w:rFonts w:cs="Times New Roman"/>
              </w:rPr>
              <w:t>masuk</w:t>
            </w:r>
            <w:proofErr w:type="spellEnd"/>
            <w:r w:rsidRPr="00BC6D6A">
              <w:rPr>
                <w:rFonts w:cs="Times New Roman"/>
              </w:rPr>
              <w:t xml:space="preserve"> </w:t>
            </w:r>
            <w:proofErr w:type="spellStart"/>
            <w:r w:rsidRPr="00BC6D6A">
              <w:rPr>
                <w:rFonts w:cs="Times New Roman"/>
              </w:rPr>
              <w:t>dalam</w:t>
            </w:r>
            <w:proofErr w:type="spellEnd"/>
            <w:r w:rsidRPr="00BC6D6A">
              <w:rPr>
                <w:rFonts w:cs="Times New Roman"/>
              </w:rPr>
              <w:t xml:space="preserve"> </w:t>
            </w:r>
            <w:proofErr w:type="spellStart"/>
            <w:r w:rsidRPr="00BC6D6A">
              <w:rPr>
                <w:rFonts w:cs="Times New Roman"/>
              </w:rPr>
              <w:t>kriteria</w:t>
            </w:r>
            <w:proofErr w:type="spellEnd"/>
            <w:r w:rsidRPr="00BC6D6A">
              <w:rPr>
                <w:rFonts w:cs="Times New Roman"/>
              </w:rPr>
              <w:t xml:space="preserve"> </w:t>
            </w:r>
            <w:proofErr w:type="spellStart"/>
            <w:r w:rsidRPr="00BC6D6A">
              <w:rPr>
                <w:rFonts w:cs="Times New Roman"/>
              </w:rPr>
              <w:t>inklusi</w:t>
            </w:r>
            <w:proofErr w:type="spellEnd"/>
            <w:r w:rsidRPr="00BC6D6A">
              <w:rPr>
                <w:rFonts w:cs="Times New Roman"/>
              </w:rPr>
              <w:t xml:space="preserve"> dan </w:t>
            </w:r>
            <w:proofErr w:type="spellStart"/>
            <w:r w:rsidRPr="00BC6D6A">
              <w:rPr>
                <w:rFonts w:cs="Times New Roman"/>
              </w:rPr>
              <w:t>eksklusi</w:t>
            </w:r>
            <w:proofErr w:type="spellEnd"/>
            <w:r w:rsidRPr="00BC6D6A">
              <w:rPr>
                <w:rFonts w:cs="Times New Roman"/>
              </w:rPr>
              <w:t xml:space="preserve"> pada </w:t>
            </w:r>
            <w:proofErr w:type="spellStart"/>
            <w:r w:rsidRPr="00BC6D6A">
              <w:rPr>
                <w:rFonts w:cs="Times New Roman"/>
              </w:rPr>
              <w:t>penelitian</w:t>
            </w:r>
            <w:proofErr w:type="spellEnd"/>
            <w:r w:rsidRPr="00BC6D6A">
              <w:rPr>
                <w:rFonts w:cs="Times New Roman"/>
              </w:rPr>
              <w:t xml:space="preserve"> </w:t>
            </w:r>
            <w:proofErr w:type="spellStart"/>
            <w:r w:rsidRPr="00BC6D6A">
              <w:rPr>
                <w:rFonts w:cs="Times New Roman"/>
              </w:rPr>
              <w:t>ini</w:t>
            </w:r>
            <w:proofErr w:type="spellEnd"/>
            <w:r w:rsidRPr="00BC6D6A">
              <w:rPr>
                <w:rFonts w:cs="Times New Roman"/>
              </w:rPr>
              <w:t xml:space="preserve">. </w:t>
            </w:r>
            <w:proofErr w:type="gramStart"/>
            <w:r w:rsidRPr="00BC6D6A">
              <w:rPr>
                <w:rFonts w:cs="Times New Roman"/>
                <w:b/>
              </w:rPr>
              <w:t>Hasil :</w:t>
            </w:r>
            <w:proofErr w:type="gramEnd"/>
            <w:r w:rsidRPr="00BC6D6A">
              <w:rPr>
                <w:rFonts w:cs="Times New Roman"/>
              </w:rPr>
              <w:t xml:space="preserve"> Hasil </w:t>
            </w:r>
            <w:proofErr w:type="spellStart"/>
            <w:r w:rsidRPr="00BC6D6A">
              <w:rPr>
                <w:rFonts w:cs="Times New Roman"/>
              </w:rPr>
              <w:t>dari</w:t>
            </w:r>
            <w:proofErr w:type="spellEnd"/>
            <w:r w:rsidRPr="00BC6D6A">
              <w:rPr>
                <w:rFonts w:cs="Times New Roman"/>
              </w:rPr>
              <w:t xml:space="preserve"> </w:t>
            </w:r>
            <w:proofErr w:type="spellStart"/>
            <w:r w:rsidRPr="00BC6D6A">
              <w:rPr>
                <w:rFonts w:cs="Times New Roman"/>
              </w:rPr>
              <w:t>penelitian</w:t>
            </w:r>
            <w:proofErr w:type="spellEnd"/>
            <w:r w:rsidRPr="00BC6D6A">
              <w:rPr>
                <w:rFonts w:cs="Times New Roman"/>
              </w:rPr>
              <w:t xml:space="preserve"> </w:t>
            </w:r>
            <w:proofErr w:type="spellStart"/>
            <w:r w:rsidRPr="00BC6D6A">
              <w:rPr>
                <w:rFonts w:cs="Times New Roman"/>
              </w:rPr>
              <w:t>ini</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profilaksis</w:t>
            </w:r>
            <w:proofErr w:type="spellEnd"/>
            <w:r w:rsidRPr="00BC6D6A">
              <w:rPr>
                <w:rFonts w:cs="Times New Roman"/>
              </w:rPr>
              <w:t xml:space="preserve"> yang </w:t>
            </w:r>
            <w:proofErr w:type="spellStart"/>
            <w:r w:rsidRPr="00BC6D6A">
              <w:rPr>
                <w:rFonts w:cs="Times New Roman"/>
              </w:rPr>
              <w:t>digunakan</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ceftriaxone </w:t>
            </w:r>
            <w:proofErr w:type="spellStart"/>
            <w:r w:rsidRPr="00BC6D6A">
              <w:rPr>
                <w:rFonts w:cs="Times New Roman"/>
              </w:rPr>
              <w:t>sebanyak</w:t>
            </w:r>
            <w:proofErr w:type="spellEnd"/>
            <w:r w:rsidRPr="00BC6D6A">
              <w:rPr>
                <w:rFonts w:cs="Times New Roman"/>
              </w:rPr>
              <w:t xml:space="preserve"> 92 </w:t>
            </w:r>
            <w:proofErr w:type="spellStart"/>
            <w:r w:rsidRPr="00BC6D6A">
              <w:rPr>
                <w:rFonts w:cs="Times New Roman"/>
              </w:rPr>
              <w:t>pasien</w:t>
            </w:r>
            <w:proofErr w:type="spellEnd"/>
            <w:r w:rsidRPr="00BC6D6A">
              <w:rPr>
                <w:rFonts w:cs="Times New Roman"/>
              </w:rPr>
              <w:t xml:space="preserve"> (97,87%) dan ciprofloxacin </w:t>
            </w:r>
            <w:proofErr w:type="spellStart"/>
            <w:r w:rsidRPr="00BC6D6A">
              <w:rPr>
                <w:rFonts w:cs="Times New Roman"/>
              </w:rPr>
              <w:t>sebanyak</w:t>
            </w:r>
            <w:proofErr w:type="spellEnd"/>
            <w:r w:rsidRPr="00BC6D6A">
              <w:rPr>
                <w:rFonts w:cs="Times New Roman"/>
              </w:rPr>
              <w:t xml:space="preserve"> 2 </w:t>
            </w:r>
            <w:proofErr w:type="spellStart"/>
            <w:r w:rsidRPr="00BC6D6A">
              <w:rPr>
                <w:rFonts w:cs="Times New Roman"/>
              </w:rPr>
              <w:t>pasien</w:t>
            </w:r>
            <w:proofErr w:type="spellEnd"/>
            <w:r w:rsidRPr="00BC6D6A">
              <w:rPr>
                <w:rFonts w:cs="Times New Roman"/>
              </w:rPr>
              <w:t xml:space="preserve"> (2,13%). </w:t>
            </w:r>
            <w:proofErr w:type="spellStart"/>
            <w:proofErr w:type="gramStart"/>
            <w:r w:rsidRPr="00BC6D6A">
              <w:rPr>
                <w:rFonts w:cs="Times New Roman"/>
                <w:b/>
              </w:rPr>
              <w:t>Simpulan</w:t>
            </w:r>
            <w:proofErr w:type="spellEnd"/>
            <w:r w:rsidRPr="00BC6D6A">
              <w:rPr>
                <w:rFonts w:cs="Times New Roman"/>
                <w:b/>
              </w:rPr>
              <w:t xml:space="preserve"> :</w:t>
            </w:r>
            <w:proofErr w:type="gramEnd"/>
            <w:r w:rsidRPr="00BC6D6A">
              <w:rPr>
                <w:rFonts w:cs="Times New Roman"/>
              </w:rPr>
              <w:t xml:space="preserve"> </w:t>
            </w:r>
            <w:proofErr w:type="spellStart"/>
            <w:r w:rsidRPr="00BC6D6A">
              <w:rPr>
                <w:rFonts w:cs="Times New Roman"/>
              </w:rPr>
              <w:t>evaluasi</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berdasarkan</w:t>
            </w:r>
            <w:proofErr w:type="spellEnd"/>
            <w:r w:rsidRPr="00BC6D6A">
              <w:rPr>
                <w:rFonts w:cs="Times New Roman"/>
              </w:rPr>
              <w:t xml:space="preserve"> </w:t>
            </w:r>
            <w:proofErr w:type="spellStart"/>
            <w:r w:rsidRPr="00BC6D6A">
              <w:rPr>
                <w:rFonts w:cs="Times New Roman"/>
              </w:rPr>
              <w:t>metode</w:t>
            </w:r>
            <w:proofErr w:type="spellEnd"/>
            <w:r w:rsidRPr="00BC6D6A">
              <w:rPr>
                <w:rFonts w:cs="Times New Roman"/>
              </w:rPr>
              <w:t xml:space="preserve"> </w:t>
            </w:r>
            <w:proofErr w:type="spellStart"/>
            <w:r w:rsidRPr="00BC6D6A">
              <w:rPr>
                <w:rFonts w:cs="Times New Roman"/>
                <w:i/>
              </w:rPr>
              <w:t>Gyssens</w:t>
            </w:r>
            <w:proofErr w:type="spellEnd"/>
            <w:r w:rsidRPr="00BC6D6A">
              <w:rPr>
                <w:rFonts w:cs="Times New Roman"/>
                <w:i/>
              </w:rPr>
              <w:t>,</w:t>
            </w:r>
            <w:r w:rsidRPr="00BC6D6A">
              <w:rPr>
                <w:rFonts w:cs="Times New Roman"/>
              </w:rPr>
              <w:t xml:space="preserve"> pada </w:t>
            </w:r>
            <w:proofErr w:type="spellStart"/>
            <w:r w:rsidRPr="00BC6D6A">
              <w:rPr>
                <w:rFonts w:cs="Times New Roman"/>
              </w:rPr>
              <w:t>penelitian</w:t>
            </w:r>
            <w:proofErr w:type="spellEnd"/>
            <w:r w:rsidRPr="00BC6D6A">
              <w:rPr>
                <w:rFonts w:cs="Times New Roman"/>
              </w:rPr>
              <w:t xml:space="preserve"> </w:t>
            </w:r>
            <w:proofErr w:type="spellStart"/>
            <w:r w:rsidRPr="00BC6D6A">
              <w:rPr>
                <w:rFonts w:cs="Times New Roman"/>
              </w:rPr>
              <w:t>ini</w:t>
            </w:r>
            <w:proofErr w:type="spellEnd"/>
            <w:r w:rsidRPr="00BC6D6A">
              <w:rPr>
                <w:rFonts w:cs="Times New Roman"/>
              </w:rPr>
              <w:t xml:space="preserve"> </w:t>
            </w:r>
            <w:proofErr w:type="spellStart"/>
            <w:r w:rsidRPr="00BC6D6A">
              <w:rPr>
                <w:rFonts w:cs="Times New Roman"/>
              </w:rPr>
              <w:t>menunjukan</w:t>
            </w:r>
            <w:proofErr w:type="spellEnd"/>
            <w:r w:rsidRPr="00BC6D6A">
              <w:rPr>
                <w:rFonts w:cs="Times New Roman"/>
              </w:rPr>
              <w:t xml:space="preserve"> </w:t>
            </w:r>
            <w:proofErr w:type="spellStart"/>
            <w:r w:rsidRPr="00BC6D6A">
              <w:rPr>
                <w:rFonts w:cs="Times New Roman"/>
              </w:rPr>
              <w:t>penggunaan</w:t>
            </w:r>
            <w:proofErr w:type="spellEnd"/>
            <w:r w:rsidRPr="00BC6D6A">
              <w:rPr>
                <w:rFonts w:cs="Times New Roman"/>
              </w:rPr>
              <w:t xml:space="preserve"> </w:t>
            </w: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rasional</w:t>
            </w:r>
            <w:proofErr w:type="spellEnd"/>
            <w:r w:rsidRPr="00BC6D6A">
              <w:rPr>
                <w:rFonts w:cs="Times New Roman"/>
              </w:rPr>
              <w:t xml:space="preserve"> </w:t>
            </w:r>
            <w:proofErr w:type="spellStart"/>
            <w:r w:rsidRPr="00BC6D6A">
              <w:rPr>
                <w:rFonts w:cs="Times New Roman"/>
              </w:rPr>
              <w:t>dengan</w:t>
            </w:r>
            <w:proofErr w:type="spellEnd"/>
            <w:r w:rsidRPr="00BC6D6A">
              <w:rPr>
                <w:rFonts w:cs="Times New Roman"/>
              </w:rPr>
              <w:t xml:space="preserve"> </w:t>
            </w:r>
            <w:proofErr w:type="spellStart"/>
            <w:r w:rsidRPr="00BC6D6A">
              <w:rPr>
                <w:rFonts w:cs="Times New Roman"/>
              </w:rPr>
              <w:t>kategori</w:t>
            </w:r>
            <w:proofErr w:type="spellEnd"/>
            <w:r w:rsidRPr="00BC6D6A">
              <w:rPr>
                <w:rFonts w:cs="Times New Roman"/>
              </w:rPr>
              <w:t xml:space="preserve"> 0 </w:t>
            </w:r>
            <w:proofErr w:type="spellStart"/>
            <w:r w:rsidRPr="00BC6D6A">
              <w:rPr>
                <w:rFonts w:cs="Times New Roman"/>
              </w:rPr>
              <w:t>sebanyak</w:t>
            </w:r>
            <w:proofErr w:type="spellEnd"/>
            <w:r w:rsidRPr="00BC6D6A">
              <w:rPr>
                <w:rFonts w:cs="Times New Roman"/>
              </w:rPr>
              <w:t xml:space="preserve"> 94,68%, dan </w:t>
            </w:r>
            <w:proofErr w:type="spellStart"/>
            <w:r w:rsidRPr="00BC6D6A">
              <w:rPr>
                <w:rFonts w:cs="Times New Roman"/>
              </w:rPr>
              <w:t>tidak</w:t>
            </w:r>
            <w:proofErr w:type="spellEnd"/>
            <w:r w:rsidRPr="00BC6D6A">
              <w:rPr>
                <w:rFonts w:cs="Times New Roman"/>
              </w:rPr>
              <w:t xml:space="preserve"> </w:t>
            </w:r>
            <w:proofErr w:type="spellStart"/>
            <w:r w:rsidRPr="00BC6D6A">
              <w:rPr>
                <w:rFonts w:cs="Times New Roman"/>
              </w:rPr>
              <w:t>rasional</w:t>
            </w:r>
            <w:proofErr w:type="spellEnd"/>
            <w:r w:rsidRPr="00BC6D6A">
              <w:rPr>
                <w:rFonts w:cs="Times New Roman"/>
              </w:rPr>
              <w:t xml:space="preserve"> </w:t>
            </w:r>
            <w:proofErr w:type="spellStart"/>
            <w:r w:rsidRPr="00BC6D6A">
              <w:rPr>
                <w:rFonts w:cs="Times New Roman"/>
              </w:rPr>
              <w:t>dengan</w:t>
            </w:r>
            <w:proofErr w:type="spellEnd"/>
            <w:r w:rsidRPr="00BC6D6A">
              <w:rPr>
                <w:rFonts w:cs="Times New Roman"/>
              </w:rPr>
              <w:t xml:space="preserve"> </w:t>
            </w:r>
            <w:proofErr w:type="spellStart"/>
            <w:r w:rsidRPr="00BC6D6A">
              <w:rPr>
                <w:rFonts w:cs="Times New Roman"/>
              </w:rPr>
              <w:t>kategori</w:t>
            </w:r>
            <w:proofErr w:type="spellEnd"/>
            <w:r w:rsidRPr="00BC6D6A">
              <w:rPr>
                <w:rFonts w:cs="Times New Roman"/>
              </w:rPr>
              <w:t xml:space="preserve"> IIA 3,19% dan </w:t>
            </w:r>
            <w:proofErr w:type="spellStart"/>
            <w:r w:rsidRPr="00BC6D6A">
              <w:rPr>
                <w:rFonts w:cs="Times New Roman"/>
              </w:rPr>
              <w:t>kategori</w:t>
            </w:r>
            <w:proofErr w:type="spellEnd"/>
            <w:r w:rsidR="00E255CE">
              <w:rPr>
                <w:rFonts w:cs="Times New Roman"/>
              </w:rPr>
              <w:t xml:space="preserve"> </w:t>
            </w:r>
            <w:r w:rsidRPr="00BC6D6A">
              <w:rPr>
                <w:rFonts w:cs="Times New Roman"/>
              </w:rPr>
              <w:t xml:space="preserve">IVA 2,13%. </w:t>
            </w:r>
          </w:p>
          <w:p w14:paraId="47969E98" w14:textId="77777777" w:rsidR="00B46EE3" w:rsidRPr="00BC6D6A" w:rsidRDefault="00B46EE3">
            <w:pPr>
              <w:ind w:left="-94" w:right="-146"/>
              <w:jc w:val="both"/>
              <w:rPr>
                <w:rFonts w:cs="Times New Roman"/>
              </w:rPr>
            </w:pPr>
          </w:p>
          <w:p w14:paraId="784EFF30" w14:textId="77777777" w:rsidR="00B46EE3" w:rsidRPr="00BC6D6A" w:rsidRDefault="00B46EE3">
            <w:pPr>
              <w:ind w:left="-94" w:right="-146"/>
              <w:jc w:val="both"/>
              <w:rPr>
                <w:rFonts w:cs="Times New Roman"/>
              </w:rPr>
            </w:pPr>
          </w:p>
        </w:tc>
      </w:tr>
      <w:tr w:rsidR="00B46EE3" w:rsidRPr="00BC6D6A" w14:paraId="344160EB" w14:textId="77777777" w:rsidTr="009B64B6">
        <w:tc>
          <w:tcPr>
            <w:tcW w:w="2025" w:type="dxa"/>
            <w:shd w:val="clear" w:color="auto" w:fill="auto"/>
          </w:tcPr>
          <w:p w14:paraId="6105B683" w14:textId="174AAC41" w:rsidR="00B46EE3" w:rsidRPr="00BC6D6A" w:rsidRDefault="00000000">
            <w:pPr>
              <w:ind w:left="-108" w:right="-65"/>
              <w:rPr>
                <w:rFonts w:cs="Times New Roman"/>
              </w:rPr>
            </w:pPr>
            <w:proofErr w:type="spellStart"/>
            <w:proofErr w:type="gramStart"/>
            <w:r w:rsidRPr="00BC6D6A">
              <w:rPr>
                <w:rFonts w:cs="Times New Roman"/>
              </w:rPr>
              <w:t>Diterima</w:t>
            </w:r>
            <w:proofErr w:type="spellEnd"/>
            <w:r w:rsidRPr="00BC6D6A">
              <w:rPr>
                <w:rFonts w:cs="Times New Roman"/>
              </w:rPr>
              <w:t xml:space="preserve"> </w:t>
            </w:r>
            <w:r w:rsidR="002D4D4E" w:rsidRPr="00BC6D6A">
              <w:rPr>
                <w:rFonts w:cs="Times New Roman"/>
              </w:rPr>
              <w:t>:</w:t>
            </w:r>
            <w:proofErr w:type="gramEnd"/>
          </w:p>
          <w:p w14:paraId="7866BC34" w14:textId="1572CC84" w:rsidR="002D4D4E" w:rsidRPr="00BC6D6A" w:rsidRDefault="002D4D4E" w:rsidP="002D4D4E">
            <w:pPr>
              <w:ind w:left="-108" w:right="-65"/>
              <w:rPr>
                <w:rFonts w:cs="Times New Roman"/>
              </w:rPr>
            </w:pPr>
            <w:r w:rsidRPr="00BC6D6A">
              <w:rPr>
                <w:rFonts w:cs="Times New Roman"/>
              </w:rPr>
              <w:t>10 Juni 2024</w:t>
            </w:r>
          </w:p>
        </w:tc>
        <w:tc>
          <w:tcPr>
            <w:tcW w:w="250" w:type="dxa"/>
            <w:shd w:val="clear" w:color="auto" w:fill="auto"/>
          </w:tcPr>
          <w:p w14:paraId="184F117A" w14:textId="77777777" w:rsidR="00B46EE3" w:rsidRPr="00BC6D6A" w:rsidRDefault="00B46EE3">
            <w:pPr>
              <w:rPr>
                <w:rFonts w:cs="Times New Roman"/>
                <w:sz w:val="22"/>
                <w:szCs w:val="22"/>
              </w:rPr>
            </w:pPr>
          </w:p>
        </w:tc>
        <w:tc>
          <w:tcPr>
            <w:tcW w:w="6656" w:type="dxa"/>
            <w:vMerge/>
            <w:shd w:val="clear" w:color="auto" w:fill="auto"/>
          </w:tcPr>
          <w:p w14:paraId="2C5E2F17"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5EB37E01" w14:textId="77777777" w:rsidTr="009B64B6">
        <w:tc>
          <w:tcPr>
            <w:tcW w:w="2025" w:type="dxa"/>
            <w:shd w:val="clear" w:color="auto" w:fill="auto"/>
          </w:tcPr>
          <w:p w14:paraId="777E9D33" w14:textId="78956B84" w:rsidR="00B46EE3" w:rsidRPr="00BC6D6A" w:rsidRDefault="00000000">
            <w:pPr>
              <w:ind w:left="-108"/>
              <w:rPr>
                <w:rFonts w:cs="Times New Roman"/>
              </w:rPr>
            </w:pPr>
            <w:proofErr w:type="spellStart"/>
            <w:proofErr w:type="gramStart"/>
            <w:r w:rsidRPr="00BC6D6A">
              <w:rPr>
                <w:rFonts w:cs="Times New Roman"/>
              </w:rPr>
              <w:t>Disetujui</w:t>
            </w:r>
            <w:proofErr w:type="spellEnd"/>
            <w:r w:rsidRPr="00BC6D6A">
              <w:rPr>
                <w:rFonts w:cs="Times New Roman"/>
              </w:rPr>
              <w:t xml:space="preserve"> </w:t>
            </w:r>
            <w:r w:rsidR="002D4D4E" w:rsidRPr="00BC6D6A">
              <w:rPr>
                <w:rFonts w:cs="Times New Roman"/>
              </w:rPr>
              <w:t>:</w:t>
            </w:r>
            <w:proofErr w:type="gramEnd"/>
          </w:p>
          <w:p w14:paraId="4B2FEFDC" w14:textId="00287053" w:rsidR="002D4D4E" w:rsidRPr="00BC6D6A" w:rsidRDefault="002D4D4E">
            <w:pPr>
              <w:ind w:left="-108"/>
              <w:rPr>
                <w:rFonts w:cs="Times New Roman"/>
              </w:rPr>
            </w:pPr>
            <w:r w:rsidRPr="00BC6D6A">
              <w:rPr>
                <w:rFonts w:cs="Times New Roman"/>
              </w:rPr>
              <w:t>10 Juli 2024</w:t>
            </w:r>
          </w:p>
        </w:tc>
        <w:tc>
          <w:tcPr>
            <w:tcW w:w="250" w:type="dxa"/>
            <w:shd w:val="clear" w:color="auto" w:fill="auto"/>
          </w:tcPr>
          <w:p w14:paraId="0911B89F" w14:textId="77777777" w:rsidR="00B46EE3" w:rsidRPr="00BC6D6A" w:rsidRDefault="00B46EE3">
            <w:pPr>
              <w:rPr>
                <w:rFonts w:cs="Times New Roman"/>
                <w:sz w:val="22"/>
                <w:szCs w:val="22"/>
              </w:rPr>
            </w:pPr>
          </w:p>
        </w:tc>
        <w:tc>
          <w:tcPr>
            <w:tcW w:w="6656" w:type="dxa"/>
            <w:vMerge/>
            <w:shd w:val="clear" w:color="auto" w:fill="auto"/>
          </w:tcPr>
          <w:p w14:paraId="07E45C3E"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4A347838" w14:textId="77777777" w:rsidTr="009B64B6">
        <w:tc>
          <w:tcPr>
            <w:tcW w:w="2025" w:type="dxa"/>
            <w:shd w:val="clear" w:color="auto" w:fill="auto"/>
          </w:tcPr>
          <w:p w14:paraId="26F5D125" w14:textId="26BEF27C" w:rsidR="00B46EE3" w:rsidRPr="00BC6D6A" w:rsidRDefault="00000000">
            <w:pPr>
              <w:ind w:left="-108"/>
              <w:rPr>
                <w:rFonts w:cs="Times New Roman"/>
              </w:rPr>
            </w:pPr>
            <w:proofErr w:type="spellStart"/>
            <w:proofErr w:type="gramStart"/>
            <w:r w:rsidRPr="00BC6D6A">
              <w:rPr>
                <w:rFonts w:cs="Times New Roman"/>
              </w:rPr>
              <w:t>Dipublikasikan</w:t>
            </w:r>
            <w:proofErr w:type="spellEnd"/>
            <w:r w:rsidRPr="00BC6D6A">
              <w:rPr>
                <w:rFonts w:cs="Times New Roman"/>
              </w:rPr>
              <w:t xml:space="preserve"> </w:t>
            </w:r>
            <w:r w:rsidR="002D4D4E" w:rsidRPr="00BC6D6A">
              <w:rPr>
                <w:rFonts w:cs="Times New Roman"/>
              </w:rPr>
              <w:t>:</w:t>
            </w:r>
            <w:proofErr w:type="gramEnd"/>
          </w:p>
        </w:tc>
        <w:tc>
          <w:tcPr>
            <w:tcW w:w="250" w:type="dxa"/>
            <w:shd w:val="clear" w:color="auto" w:fill="auto"/>
          </w:tcPr>
          <w:p w14:paraId="3F6537AE" w14:textId="77777777" w:rsidR="00B46EE3" w:rsidRPr="00BC6D6A" w:rsidRDefault="00B46EE3">
            <w:pPr>
              <w:rPr>
                <w:rFonts w:cs="Times New Roman"/>
                <w:sz w:val="22"/>
                <w:szCs w:val="22"/>
              </w:rPr>
            </w:pPr>
          </w:p>
        </w:tc>
        <w:tc>
          <w:tcPr>
            <w:tcW w:w="6656" w:type="dxa"/>
            <w:vMerge/>
            <w:shd w:val="clear" w:color="auto" w:fill="auto"/>
          </w:tcPr>
          <w:p w14:paraId="2915F3BE"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21341A72" w14:textId="77777777" w:rsidTr="009B64B6">
        <w:tc>
          <w:tcPr>
            <w:tcW w:w="2025" w:type="dxa"/>
            <w:shd w:val="clear" w:color="auto" w:fill="auto"/>
          </w:tcPr>
          <w:p w14:paraId="59F4DF06" w14:textId="1A0ACCB3" w:rsidR="00B46EE3" w:rsidRPr="00BC6D6A" w:rsidRDefault="002D4D4E">
            <w:pPr>
              <w:ind w:left="-108"/>
              <w:rPr>
                <w:rFonts w:cs="Times New Roman"/>
              </w:rPr>
            </w:pPr>
            <w:r w:rsidRPr="00BC6D6A">
              <w:rPr>
                <w:rFonts w:cs="Times New Roman"/>
              </w:rPr>
              <w:t>31 Juli 2024</w:t>
            </w:r>
          </w:p>
        </w:tc>
        <w:tc>
          <w:tcPr>
            <w:tcW w:w="250" w:type="dxa"/>
            <w:shd w:val="clear" w:color="auto" w:fill="auto"/>
          </w:tcPr>
          <w:p w14:paraId="221CCB7D" w14:textId="77777777" w:rsidR="00B46EE3" w:rsidRPr="00BC6D6A" w:rsidRDefault="00B46EE3">
            <w:pPr>
              <w:rPr>
                <w:rFonts w:cs="Times New Roman"/>
                <w:sz w:val="22"/>
                <w:szCs w:val="22"/>
              </w:rPr>
            </w:pPr>
          </w:p>
        </w:tc>
        <w:tc>
          <w:tcPr>
            <w:tcW w:w="6656" w:type="dxa"/>
            <w:vMerge/>
            <w:shd w:val="clear" w:color="auto" w:fill="auto"/>
          </w:tcPr>
          <w:p w14:paraId="45B739E0"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00D7F531" w14:textId="77777777" w:rsidTr="009B64B6">
        <w:tc>
          <w:tcPr>
            <w:tcW w:w="2025" w:type="dxa"/>
            <w:shd w:val="clear" w:color="auto" w:fill="auto"/>
          </w:tcPr>
          <w:p w14:paraId="66E7599C" w14:textId="77777777" w:rsidR="00B46EE3" w:rsidRPr="00BC6D6A" w:rsidRDefault="00B46EE3">
            <w:pPr>
              <w:rPr>
                <w:rFonts w:cs="Times New Roman"/>
              </w:rPr>
            </w:pPr>
          </w:p>
        </w:tc>
        <w:tc>
          <w:tcPr>
            <w:tcW w:w="250" w:type="dxa"/>
            <w:shd w:val="clear" w:color="auto" w:fill="auto"/>
          </w:tcPr>
          <w:p w14:paraId="5465997A" w14:textId="77777777" w:rsidR="00B46EE3" w:rsidRPr="00BC6D6A" w:rsidRDefault="00B46EE3">
            <w:pPr>
              <w:rPr>
                <w:rFonts w:cs="Times New Roman"/>
                <w:sz w:val="22"/>
                <w:szCs w:val="22"/>
              </w:rPr>
            </w:pPr>
          </w:p>
        </w:tc>
        <w:tc>
          <w:tcPr>
            <w:tcW w:w="6656" w:type="dxa"/>
            <w:vMerge/>
            <w:shd w:val="clear" w:color="auto" w:fill="auto"/>
          </w:tcPr>
          <w:p w14:paraId="58BDB50F"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54E9FCAA" w14:textId="77777777" w:rsidTr="009B64B6">
        <w:tc>
          <w:tcPr>
            <w:tcW w:w="2025" w:type="dxa"/>
            <w:shd w:val="clear" w:color="auto" w:fill="auto"/>
          </w:tcPr>
          <w:p w14:paraId="77E60C20" w14:textId="77777777" w:rsidR="00B46EE3" w:rsidRPr="00BC6D6A" w:rsidRDefault="00000000">
            <w:pPr>
              <w:ind w:left="-108"/>
              <w:rPr>
                <w:rFonts w:cs="Times New Roman"/>
                <w:b/>
                <w:u w:val="single"/>
              </w:rPr>
            </w:pPr>
            <w:r w:rsidRPr="00BC6D6A">
              <w:rPr>
                <w:rFonts w:cs="Times New Roman"/>
                <w:b/>
                <w:u w:val="single"/>
              </w:rPr>
              <w:t>Kata Kunci:</w:t>
            </w:r>
          </w:p>
        </w:tc>
        <w:tc>
          <w:tcPr>
            <w:tcW w:w="250" w:type="dxa"/>
            <w:shd w:val="clear" w:color="auto" w:fill="auto"/>
          </w:tcPr>
          <w:p w14:paraId="4F6C11B9" w14:textId="77777777" w:rsidR="00B46EE3" w:rsidRPr="00BC6D6A" w:rsidRDefault="00B46EE3">
            <w:pPr>
              <w:rPr>
                <w:rFonts w:cs="Times New Roman"/>
                <w:sz w:val="22"/>
                <w:szCs w:val="22"/>
              </w:rPr>
            </w:pPr>
          </w:p>
        </w:tc>
        <w:tc>
          <w:tcPr>
            <w:tcW w:w="6656" w:type="dxa"/>
            <w:vMerge/>
            <w:shd w:val="clear" w:color="auto" w:fill="auto"/>
          </w:tcPr>
          <w:p w14:paraId="7FF0D360"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277DFDFA" w14:textId="77777777" w:rsidTr="009B64B6">
        <w:trPr>
          <w:trHeight w:val="550"/>
        </w:trPr>
        <w:tc>
          <w:tcPr>
            <w:tcW w:w="2025" w:type="dxa"/>
            <w:shd w:val="clear" w:color="auto" w:fill="auto"/>
          </w:tcPr>
          <w:p w14:paraId="2F8EEA17" w14:textId="77777777" w:rsidR="00B46EE3" w:rsidRPr="00BC6D6A" w:rsidRDefault="00000000">
            <w:pPr>
              <w:ind w:left="-108"/>
              <w:rPr>
                <w:rFonts w:cs="Times New Roman"/>
              </w:rPr>
            </w:pPr>
            <w:proofErr w:type="spellStart"/>
            <w:r w:rsidRPr="00BC6D6A">
              <w:rPr>
                <w:rFonts w:cs="Times New Roman"/>
              </w:rPr>
              <w:t>Antibiotik</w:t>
            </w:r>
            <w:proofErr w:type="spellEnd"/>
            <w:r w:rsidRPr="00BC6D6A">
              <w:rPr>
                <w:rFonts w:cs="Times New Roman"/>
              </w:rPr>
              <w:t xml:space="preserve">; </w:t>
            </w:r>
            <w:proofErr w:type="spellStart"/>
            <w:r w:rsidRPr="00BC6D6A">
              <w:rPr>
                <w:rFonts w:cs="Times New Roman"/>
              </w:rPr>
              <w:t>bedah</w:t>
            </w:r>
            <w:proofErr w:type="spellEnd"/>
            <w:r w:rsidRPr="00BC6D6A">
              <w:rPr>
                <w:rFonts w:cs="Times New Roman"/>
              </w:rPr>
              <w:t xml:space="preserve"> digestif; </w:t>
            </w:r>
            <w:proofErr w:type="spellStart"/>
            <w:r w:rsidRPr="00BC6D6A">
              <w:rPr>
                <w:rFonts w:cs="Times New Roman"/>
              </w:rPr>
              <w:t>gyssens</w:t>
            </w:r>
            <w:proofErr w:type="spellEnd"/>
          </w:p>
        </w:tc>
        <w:tc>
          <w:tcPr>
            <w:tcW w:w="250" w:type="dxa"/>
            <w:shd w:val="clear" w:color="auto" w:fill="auto"/>
          </w:tcPr>
          <w:p w14:paraId="18B73027" w14:textId="77777777" w:rsidR="00B46EE3" w:rsidRPr="00BC6D6A" w:rsidRDefault="00B46EE3">
            <w:pPr>
              <w:rPr>
                <w:rFonts w:cs="Times New Roman"/>
                <w:sz w:val="22"/>
                <w:szCs w:val="22"/>
              </w:rPr>
            </w:pPr>
          </w:p>
        </w:tc>
        <w:tc>
          <w:tcPr>
            <w:tcW w:w="6656" w:type="dxa"/>
            <w:vMerge/>
            <w:shd w:val="clear" w:color="auto" w:fill="auto"/>
          </w:tcPr>
          <w:p w14:paraId="46BEF9B2"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31BB4D31" w14:textId="77777777" w:rsidTr="009B64B6">
        <w:trPr>
          <w:trHeight w:val="244"/>
        </w:trPr>
        <w:tc>
          <w:tcPr>
            <w:tcW w:w="2025" w:type="dxa"/>
            <w:shd w:val="clear" w:color="auto" w:fill="auto"/>
          </w:tcPr>
          <w:p w14:paraId="27853145" w14:textId="77777777" w:rsidR="00B46EE3" w:rsidRPr="00BC6D6A" w:rsidRDefault="00000000">
            <w:pPr>
              <w:ind w:left="-108"/>
              <w:jc w:val="both"/>
              <w:rPr>
                <w:rFonts w:cs="Times New Roman"/>
                <w:i/>
                <w:u w:val="single"/>
              </w:rPr>
            </w:pPr>
            <w:r w:rsidRPr="00BC6D6A">
              <w:rPr>
                <w:rFonts w:cs="Times New Roman"/>
                <w:b/>
                <w:i/>
                <w:u w:val="single"/>
              </w:rPr>
              <w:t>Keywords:</w:t>
            </w:r>
          </w:p>
        </w:tc>
        <w:tc>
          <w:tcPr>
            <w:tcW w:w="250" w:type="dxa"/>
            <w:shd w:val="clear" w:color="auto" w:fill="auto"/>
          </w:tcPr>
          <w:p w14:paraId="3BBFE88D" w14:textId="77777777" w:rsidR="00B46EE3" w:rsidRPr="00BC6D6A" w:rsidRDefault="00B46EE3">
            <w:pPr>
              <w:rPr>
                <w:rFonts w:cs="Times New Roman"/>
                <w:sz w:val="22"/>
                <w:szCs w:val="22"/>
              </w:rPr>
            </w:pPr>
          </w:p>
        </w:tc>
        <w:tc>
          <w:tcPr>
            <w:tcW w:w="6656" w:type="dxa"/>
            <w:vMerge/>
            <w:shd w:val="clear" w:color="auto" w:fill="auto"/>
          </w:tcPr>
          <w:p w14:paraId="4C4943CF"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4353279F" w14:textId="77777777" w:rsidTr="009B64B6">
        <w:trPr>
          <w:trHeight w:val="215"/>
        </w:trPr>
        <w:tc>
          <w:tcPr>
            <w:tcW w:w="2025" w:type="dxa"/>
            <w:shd w:val="clear" w:color="auto" w:fill="auto"/>
          </w:tcPr>
          <w:p w14:paraId="798D2757" w14:textId="77777777" w:rsidR="00B46EE3" w:rsidRPr="00BC6D6A" w:rsidRDefault="00000000">
            <w:pPr>
              <w:ind w:left="-108"/>
              <w:jc w:val="both"/>
              <w:rPr>
                <w:rFonts w:cs="Times New Roman"/>
                <w:b/>
                <w:i/>
              </w:rPr>
            </w:pPr>
            <w:proofErr w:type="spellStart"/>
            <w:proofErr w:type="gramStart"/>
            <w:r w:rsidRPr="00BC6D6A">
              <w:rPr>
                <w:rFonts w:cs="Times New Roman"/>
                <w:i/>
              </w:rPr>
              <w:t>Antibiotic;digestive</w:t>
            </w:r>
            <w:proofErr w:type="spellEnd"/>
            <w:proofErr w:type="gramEnd"/>
            <w:r w:rsidRPr="00BC6D6A">
              <w:rPr>
                <w:rFonts w:cs="Times New Roman"/>
                <w:i/>
              </w:rPr>
              <w:t xml:space="preserve"> surgery; </w:t>
            </w:r>
            <w:proofErr w:type="spellStart"/>
            <w:r w:rsidRPr="00BC6D6A">
              <w:rPr>
                <w:rFonts w:cs="Times New Roman"/>
                <w:i/>
              </w:rPr>
              <w:t>gyssens</w:t>
            </w:r>
            <w:proofErr w:type="spellEnd"/>
          </w:p>
        </w:tc>
        <w:tc>
          <w:tcPr>
            <w:tcW w:w="250" w:type="dxa"/>
            <w:shd w:val="clear" w:color="auto" w:fill="auto"/>
          </w:tcPr>
          <w:p w14:paraId="372B2CF1" w14:textId="77777777" w:rsidR="00B46EE3" w:rsidRPr="00BC6D6A" w:rsidRDefault="00B46EE3">
            <w:pPr>
              <w:rPr>
                <w:rFonts w:cs="Times New Roman"/>
                <w:sz w:val="22"/>
                <w:szCs w:val="22"/>
              </w:rPr>
            </w:pPr>
          </w:p>
        </w:tc>
        <w:tc>
          <w:tcPr>
            <w:tcW w:w="6656" w:type="dxa"/>
            <w:vMerge/>
            <w:shd w:val="clear" w:color="auto" w:fill="auto"/>
          </w:tcPr>
          <w:p w14:paraId="0E67E89A"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7102F6EB" w14:textId="77777777" w:rsidTr="009B64B6">
        <w:trPr>
          <w:trHeight w:val="215"/>
        </w:trPr>
        <w:tc>
          <w:tcPr>
            <w:tcW w:w="2025" w:type="dxa"/>
            <w:vMerge w:val="restart"/>
            <w:shd w:val="clear" w:color="auto" w:fill="auto"/>
          </w:tcPr>
          <w:p w14:paraId="6823EA22" w14:textId="77777777" w:rsidR="00B46EE3" w:rsidRPr="00BC6D6A" w:rsidRDefault="00B46EE3">
            <w:pPr>
              <w:ind w:left="-108"/>
              <w:jc w:val="both"/>
              <w:rPr>
                <w:rFonts w:cs="Times New Roman"/>
                <w:b/>
                <w:i/>
              </w:rPr>
            </w:pPr>
          </w:p>
          <w:p w14:paraId="44D9FF5B" w14:textId="77777777" w:rsidR="00B46EE3" w:rsidRPr="00BC6D6A" w:rsidRDefault="00B46EE3">
            <w:pPr>
              <w:ind w:left="-108"/>
              <w:jc w:val="both"/>
              <w:rPr>
                <w:rFonts w:cs="Times New Roman"/>
                <w:b/>
                <w:i/>
              </w:rPr>
            </w:pPr>
          </w:p>
        </w:tc>
        <w:tc>
          <w:tcPr>
            <w:tcW w:w="250" w:type="dxa"/>
            <w:shd w:val="clear" w:color="auto" w:fill="auto"/>
          </w:tcPr>
          <w:p w14:paraId="7A261A33" w14:textId="77777777" w:rsidR="00B46EE3" w:rsidRPr="00BC6D6A" w:rsidRDefault="00B46EE3">
            <w:pPr>
              <w:rPr>
                <w:rFonts w:cs="Times New Roman"/>
                <w:sz w:val="22"/>
                <w:szCs w:val="22"/>
              </w:rPr>
            </w:pPr>
          </w:p>
        </w:tc>
        <w:tc>
          <w:tcPr>
            <w:tcW w:w="6656" w:type="dxa"/>
            <w:vMerge/>
            <w:shd w:val="clear" w:color="auto" w:fill="auto"/>
          </w:tcPr>
          <w:p w14:paraId="22C8160F"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4D9A7C7D" w14:textId="77777777" w:rsidTr="009B64B6">
        <w:trPr>
          <w:trHeight w:val="60"/>
        </w:trPr>
        <w:tc>
          <w:tcPr>
            <w:tcW w:w="2025" w:type="dxa"/>
            <w:vMerge/>
            <w:shd w:val="clear" w:color="auto" w:fill="auto"/>
          </w:tcPr>
          <w:p w14:paraId="19C77B6D"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c>
          <w:tcPr>
            <w:tcW w:w="250" w:type="dxa"/>
            <w:shd w:val="clear" w:color="auto" w:fill="auto"/>
          </w:tcPr>
          <w:p w14:paraId="14D6C75D" w14:textId="77777777" w:rsidR="00B46EE3" w:rsidRPr="00BC6D6A" w:rsidRDefault="00B46EE3">
            <w:pPr>
              <w:rPr>
                <w:rFonts w:cs="Times New Roman"/>
                <w:b/>
                <w:sz w:val="24"/>
                <w:szCs w:val="24"/>
              </w:rPr>
            </w:pPr>
          </w:p>
        </w:tc>
        <w:tc>
          <w:tcPr>
            <w:tcW w:w="6656" w:type="dxa"/>
            <w:shd w:val="clear" w:color="auto" w:fill="auto"/>
          </w:tcPr>
          <w:p w14:paraId="0EAAE832" w14:textId="77777777" w:rsidR="00B46EE3" w:rsidRPr="00BC6D6A" w:rsidRDefault="00000000">
            <w:pPr>
              <w:ind w:left="-104"/>
              <w:rPr>
                <w:rFonts w:cs="Times New Roman"/>
                <w:b/>
                <w:i/>
                <w:sz w:val="22"/>
                <w:szCs w:val="22"/>
              </w:rPr>
            </w:pPr>
            <w:r w:rsidRPr="00BC6D6A">
              <w:rPr>
                <w:rFonts w:cs="Times New Roman"/>
                <w:b/>
                <w:i/>
                <w:sz w:val="22"/>
                <w:szCs w:val="22"/>
              </w:rPr>
              <w:t>Abstract</w:t>
            </w:r>
          </w:p>
        </w:tc>
      </w:tr>
      <w:tr w:rsidR="00B46EE3" w:rsidRPr="00BC6D6A" w14:paraId="04C2919D" w14:textId="77777777" w:rsidTr="009B64B6">
        <w:tc>
          <w:tcPr>
            <w:tcW w:w="2025" w:type="dxa"/>
            <w:vMerge/>
            <w:shd w:val="clear" w:color="auto" w:fill="auto"/>
          </w:tcPr>
          <w:p w14:paraId="3AA69556" w14:textId="77777777" w:rsidR="00B46EE3" w:rsidRPr="00BC6D6A" w:rsidRDefault="00B46EE3">
            <w:pPr>
              <w:widowControl w:val="0"/>
              <w:pBdr>
                <w:top w:val="nil"/>
                <w:left w:val="nil"/>
                <w:bottom w:val="nil"/>
                <w:right w:val="nil"/>
                <w:between w:val="nil"/>
              </w:pBdr>
              <w:spacing w:line="276" w:lineRule="auto"/>
              <w:rPr>
                <w:rFonts w:cs="Times New Roman"/>
                <w:b/>
                <w:i/>
                <w:sz w:val="22"/>
                <w:szCs w:val="22"/>
              </w:rPr>
            </w:pPr>
          </w:p>
        </w:tc>
        <w:tc>
          <w:tcPr>
            <w:tcW w:w="250" w:type="dxa"/>
            <w:shd w:val="clear" w:color="auto" w:fill="auto"/>
          </w:tcPr>
          <w:p w14:paraId="23BBDA7D" w14:textId="77777777" w:rsidR="00B46EE3" w:rsidRPr="00BC6D6A" w:rsidRDefault="00B46EE3">
            <w:pPr>
              <w:rPr>
                <w:rFonts w:cs="Times New Roman"/>
                <w:sz w:val="22"/>
                <w:szCs w:val="22"/>
              </w:rPr>
            </w:pPr>
          </w:p>
        </w:tc>
        <w:tc>
          <w:tcPr>
            <w:tcW w:w="6656" w:type="dxa"/>
            <w:vMerge w:val="restart"/>
            <w:shd w:val="clear" w:color="auto" w:fill="auto"/>
          </w:tcPr>
          <w:p w14:paraId="78B9A381" w14:textId="77777777" w:rsidR="00B46EE3" w:rsidRPr="00BC6D6A" w:rsidRDefault="00000000">
            <w:pPr>
              <w:ind w:left="-94"/>
              <w:jc w:val="both"/>
              <w:rPr>
                <w:rFonts w:cs="Times New Roman"/>
                <w:i/>
              </w:rPr>
            </w:pPr>
            <w:proofErr w:type="gramStart"/>
            <w:r w:rsidRPr="00BC6D6A">
              <w:rPr>
                <w:rFonts w:cs="Times New Roman"/>
                <w:b/>
                <w:i/>
              </w:rPr>
              <w:t>Background :</w:t>
            </w:r>
            <w:proofErr w:type="gramEnd"/>
            <w:r w:rsidRPr="00BC6D6A">
              <w:rPr>
                <w:rFonts w:cs="Times New Roman"/>
                <w:i/>
              </w:rPr>
              <w:t xml:space="preserve"> Prophylactic antibiotics are used to prevent infection at a specific time with a short duration to fight a single pathogen and prevent bacterial complications or surgical site infection (SSI). Digestive surgery has the highest potential for surgical site infection (SSI). The use of prophylactic antibiotics can effectively prevent the occurrence of surgical site infection (SSI) with appropriate and rational selection of </w:t>
            </w:r>
            <w:proofErr w:type="spellStart"/>
            <w:r w:rsidRPr="00BC6D6A">
              <w:rPr>
                <w:rFonts w:cs="Times New Roman"/>
                <w:i/>
              </w:rPr>
              <w:t>anitbiotics</w:t>
            </w:r>
            <w:proofErr w:type="spellEnd"/>
            <w:r w:rsidRPr="00BC6D6A">
              <w:rPr>
                <w:rFonts w:cs="Times New Roman"/>
                <w:i/>
              </w:rPr>
              <w:t xml:space="preserve">. </w:t>
            </w:r>
            <w:proofErr w:type="gramStart"/>
            <w:r w:rsidRPr="00BC6D6A">
              <w:rPr>
                <w:rFonts w:cs="Times New Roman"/>
                <w:b/>
                <w:i/>
              </w:rPr>
              <w:t>Objectives :</w:t>
            </w:r>
            <w:proofErr w:type="gramEnd"/>
            <w:r w:rsidRPr="00BC6D6A">
              <w:rPr>
                <w:rFonts w:cs="Times New Roman"/>
                <w:i/>
              </w:rPr>
              <w:t xml:space="preserve"> This study aims to determine the use profile and quality of prophylactic antibiotic use in digestive surgery patients who meet the inclusion and exclusion criteria. </w:t>
            </w:r>
            <w:proofErr w:type="gramStart"/>
            <w:r w:rsidRPr="00BC6D6A">
              <w:rPr>
                <w:rFonts w:cs="Times New Roman"/>
                <w:b/>
                <w:i/>
              </w:rPr>
              <w:t>Methods :</w:t>
            </w:r>
            <w:proofErr w:type="gramEnd"/>
            <w:r w:rsidRPr="00BC6D6A">
              <w:rPr>
                <w:rFonts w:cs="Times New Roman"/>
                <w:i/>
              </w:rPr>
              <w:t xml:space="preserve"> Data were collected retrospectively from the medical records of digestive surgery patients in 2023 at X </w:t>
            </w:r>
            <w:proofErr w:type="spellStart"/>
            <w:r w:rsidRPr="00BC6D6A">
              <w:rPr>
                <w:rFonts w:cs="Times New Roman"/>
                <w:i/>
              </w:rPr>
              <w:t>Tasikmalaya</w:t>
            </w:r>
            <w:proofErr w:type="spellEnd"/>
            <w:r w:rsidRPr="00BC6D6A">
              <w:rPr>
                <w:rFonts w:cs="Times New Roman"/>
                <w:i/>
              </w:rPr>
              <w:t xml:space="preserve"> Hospital. There were 94 patients who underwent digestive surgery who met the inclusion and exclusion criteria in this study. The results of this study prophylactic antibiotics used ceftriaxone antibiotics as many as 92 patients (97.87%) and ciprofloxacin as many as 2 patients (2.13%). </w:t>
            </w:r>
            <w:proofErr w:type="gramStart"/>
            <w:r w:rsidRPr="00BC6D6A">
              <w:rPr>
                <w:rFonts w:cs="Times New Roman"/>
                <w:b/>
                <w:i/>
              </w:rPr>
              <w:t>Conclusions :</w:t>
            </w:r>
            <w:proofErr w:type="gramEnd"/>
            <w:r w:rsidRPr="00BC6D6A">
              <w:rPr>
                <w:rFonts w:cs="Times New Roman"/>
                <w:b/>
                <w:i/>
              </w:rPr>
              <w:t xml:space="preserve"> </w:t>
            </w:r>
            <w:r w:rsidRPr="00BC6D6A">
              <w:rPr>
                <w:rFonts w:cs="Times New Roman"/>
                <w:i/>
              </w:rPr>
              <w:t xml:space="preserve">evaluation of antibiotic based on the </w:t>
            </w:r>
            <w:proofErr w:type="spellStart"/>
            <w:r w:rsidRPr="00BC6D6A">
              <w:rPr>
                <w:rFonts w:cs="Times New Roman"/>
                <w:i/>
              </w:rPr>
              <w:t>Gyssens</w:t>
            </w:r>
            <w:proofErr w:type="spellEnd"/>
            <w:r w:rsidRPr="00BC6D6A">
              <w:rPr>
                <w:rFonts w:cs="Times New Roman"/>
                <w:i/>
              </w:rPr>
              <w:t xml:space="preserve"> method, in this study showed rational antibiotic use with category 0 as much as 94.68%, and irrational with category IIA 3.19% and category IVA 2.13%. </w:t>
            </w:r>
          </w:p>
        </w:tc>
      </w:tr>
      <w:tr w:rsidR="00B46EE3" w:rsidRPr="00BC6D6A" w14:paraId="59EE1115" w14:textId="77777777" w:rsidTr="009B64B6">
        <w:tc>
          <w:tcPr>
            <w:tcW w:w="2025" w:type="dxa"/>
            <w:vMerge/>
            <w:shd w:val="clear" w:color="auto" w:fill="auto"/>
          </w:tcPr>
          <w:p w14:paraId="3758F05A" w14:textId="77777777" w:rsidR="00B46EE3" w:rsidRPr="00BC6D6A" w:rsidRDefault="00B46EE3">
            <w:pPr>
              <w:widowControl w:val="0"/>
              <w:pBdr>
                <w:top w:val="nil"/>
                <w:left w:val="nil"/>
                <w:bottom w:val="nil"/>
                <w:right w:val="nil"/>
                <w:between w:val="nil"/>
              </w:pBdr>
              <w:spacing w:line="276" w:lineRule="auto"/>
              <w:rPr>
                <w:rFonts w:cs="Times New Roman"/>
                <w:i/>
              </w:rPr>
            </w:pPr>
          </w:p>
        </w:tc>
        <w:tc>
          <w:tcPr>
            <w:tcW w:w="250" w:type="dxa"/>
            <w:shd w:val="clear" w:color="auto" w:fill="auto"/>
          </w:tcPr>
          <w:p w14:paraId="6A098F00" w14:textId="77777777" w:rsidR="00B46EE3" w:rsidRPr="00BC6D6A" w:rsidRDefault="00B46EE3">
            <w:pPr>
              <w:rPr>
                <w:rFonts w:cs="Times New Roman"/>
                <w:sz w:val="22"/>
                <w:szCs w:val="22"/>
              </w:rPr>
            </w:pPr>
          </w:p>
        </w:tc>
        <w:tc>
          <w:tcPr>
            <w:tcW w:w="6656" w:type="dxa"/>
            <w:vMerge/>
            <w:shd w:val="clear" w:color="auto" w:fill="auto"/>
          </w:tcPr>
          <w:p w14:paraId="0BBFD8D5"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29664D14" w14:textId="77777777" w:rsidTr="009B64B6">
        <w:tc>
          <w:tcPr>
            <w:tcW w:w="2025" w:type="dxa"/>
            <w:shd w:val="clear" w:color="auto" w:fill="auto"/>
          </w:tcPr>
          <w:p w14:paraId="1D124B31" w14:textId="77777777" w:rsidR="00B46EE3" w:rsidRPr="00BC6D6A" w:rsidRDefault="00B46EE3">
            <w:pPr>
              <w:rPr>
                <w:rFonts w:cs="Times New Roman"/>
                <w:sz w:val="22"/>
                <w:szCs w:val="22"/>
              </w:rPr>
            </w:pPr>
          </w:p>
        </w:tc>
        <w:tc>
          <w:tcPr>
            <w:tcW w:w="250" w:type="dxa"/>
            <w:shd w:val="clear" w:color="auto" w:fill="auto"/>
          </w:tcPr>
          <w:p w14:paraId="61DB543E" w14:textId="77777777" w:rsidR="00B46EE3" w:rsidRPr="00BC6D6A" w:rsidRDefault="00B46EE3">
            <w:pPr>
              <w:rPr>
                <w:rFonts w:cs="Times New Roman"/>
                <w:sz w:val="22"/>
                <w:szCs w:val="22"/>
              </w:rPr>
            </w:pPr>
          </w:p>
        </w:tc>
        <w:tc>
          <w:tcPr>
            <w:tcW w:w="6656" w:type="dxa"/>
            <w:vMerge/>
            <w:shd w:val="clear" w:color="auto" w:fill="auto"/>
          </w:tcPr>
          <w:p w14:paraId="363BA644"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0341CDBA" w14:textId="77777777" w:rsidTr="009B64B6">
        <w:tc>
          <w:tcPr>
            <w:tcW w:w="2025" w:type="dxa"/>
            <w:shd w:val="clear" w:color="auto" w:fill="auto"/>
          </w:tcPr>
          <w:p w14:paraId="54A7D1F4" w14:textId="77777777" w:rsidR="00B46EE3" w:rsidRPr="00BC6D6A" w:rsidRDefault="00B46EE3">
            <w:pPr>
              <w:rPr>
                <w:rFonts w:cs="Times New Roman"/>
                <w:sz w:val="22"/>
                <w:szCs w:val="22"/>
              </w:rPr>
            </w:pPr>
          </w:p>
        </w:tc>
        <w:tc>
          <w:tcPr>
            <w:tcW w:w="250" w:type="dxa"/>
            <w:shd w:val="clear" w:color="auto" w:fill="auto"/>
          </w:tcPr>
          <w:p w14:paraId="452E67BD" w14:textId="77777777" w:rsidR="00B46EE3" w:rsidRPr="00BC6D6A" w:rsidRDefault="00B46EE3">
            <w:pPr>
              <w:rPr>
                <w:rFonts w:cs="Times New Roman"/>
                <w:sz w:val="22"/>
                <w:szCs w:val="22"/>
              </w:rPr>
            </w:pPr>
          </w:p>
        </w:tc>
        <w:tc>
          <w:tcPr>
            <w:tcW w:w="6656" w:type="dxa"/>
            <w:vMerge/>
            <w:shd w:val="clear" w:color="auto" w:fill="auto"/>
          </w:tcPr>
          <w:p w14:paraId="204E9F4B"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635DDD12" w14:textId="77777777" w:rsidTr="009B64B6">
        <w:tc>
          <w:tcPr>
            <w:tcW w:w="2025" w:type="dxa"/>
            <w:shd w:val="clear" w:color="auto" w:fill="auto"/>
          </w:tcPr>
          <w:p w14:paraId="0E7E0502" w14:textId="77777777" w:rsidR="00B46EE3" w:rsidRPr="00BC6D6A" w:rsidRDefault="00B46EE3">
            <w:pPr>
              <w:rPr>
                <w:rFonts w:cs="Times New Roman"/>
                <w:sz w:val="22"/>
                <w:szCs w:val="22"/>
              </w:rPr>
            </w:pPr>
          </w:p>
        </w:tc>
        <w:tc>
          <w:tcPr>
            <w:tcW w:w="250" w:type="dxa"/>
            <w:shd w:val="clear" w:color="auto" w:fill="auto"/>
          </w:tcPr>
          <w:p w14:paraId="1392C631" w14:textId="77777777" w:rsidR="00B46EE3" w:rsidRPr="00BC6D6A" w:rsidRDefault="00B46EE3">
            <w:pPr>
              <w:rPr>
                <w:rFonts w:cs="Times New Roman"/>
                <w:sz w:val="22"/>
                <w:szCs w:val="22"/>
              </w:rPr>
            </w:pPr>
          </w:p>
        </w:tc>
        <w:tc>
          <w:tcPr>
            <w:tcW w:w="6656" w:type="dxa"/>
            <w:vMerge/>
            <w:shd w:val="clear" w:color="auto" w:fill="auto"/>
          </w:tcPr>
          <w:p w14:paraId="00CA1395"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0CF4E53F" w14:textId="77777777" w:rsidTr="009B64B6">
        <w:tc>
          <w:tcPr>
            <w:tcW w:w="2025" w:type="dxa"/>
            <w:shd w:val="clear" w:color="auto" w:fill="auto"/>
          </w:tcPr>
          <w:p w14:paraId="22F6E03F" w14:textId="77777777" w:rsidR="00B46EE3" w:rsidRPr="00BC6D6A" w:rsidRDefault="00B46EE3">
            <w:pPr>
              <w:rPr>
                <w:rFonts w:cs="Times New Roman"/>
                <w:sz w:val="22"/>
                <w:szCs w:val="22"/>
              </w:rPr>
            </w:pPr>
          </w:p>
        </w:tc>
        <w:tc>
          <w:tcPr>
            <w:tcW w:w="250" w:type="dxa"/>
            <w:shd w:val="clear" w:color="auto" w:fill="auto"/>
          </w:tcPr>
          <w:p w14:paraId="7405949E" w14:textId="77777777" w:rsidR="00B46EE3" w:rsidRPr="00BC6D6A" w:rsidRDefault="00B46EE3">
            <w:pPr>
              <w:rPr>
                <w:rFonts w:cs="Times New Roman"/>
                <w:sz w:val="22"/>
                <w:szCs w:val="22"/>
              </w:rPr>
            </w:pPr>
          </w:p>
        </w:tc>
        <w:tc>
          <w:tcPr>
            <w:tcW w:w="6656" w:type="dxa"/>
            <w:vMerge/>
            <w:shd w:val="clear" w:color="auto" w:fill="auto"/>
          </w:tcPr>
          <w:p w14:paraId="15237965"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r w:rsidR="00B46EE3" w:rsidRPr="00BC6D6A" w14:paraId="37713E37" w14:textId="77777777" w:rsidTr="009B64B6">
        <w:tc>
          <w:tcPr>
            <w:tcW w:w="2025" w:type="dxa"/>
            <w:shd w:val="clear" w:color="auto" w:fill="auto"/>
          </w:tcPr>
          <w:p w14:paraId="2A0B554A" w14:textId="77777777" w:rsidR="00B46EE3" w:rsidRPr="00BC6D6A" w:rsidRDefault="00B46EE3">
            <w:pPr>
              <w:ind w:left="-108"/>
              <w:jc w:val="both"/>
              <w:rPr>
                <w:rFonts w:cs="Times New Roman"/>
                <w:b/>
                <w:i/>
              </w:rPr>
            </w:pPr>
          </w:p>
        </w:tc>
        <w:tc>
          <w:tcPr>
            <w:tcW w:w="250" w:type="dxa"/>
            <w:shd w:val="clear" w:color="auto" w:fill="auto"/>
          </w:tcPr>
          <w:p w14:paraId="0FD3C297" w14:textId="77777777" w:rsidR="00B46EE3" w:rsidRPr="00BC6D6A" w:rsidRDefault="00B46EE3">
            <w:pPr>
              <w:rPr>
                <w:rFonts w:cs="Times New Roman"/>
                <w:sz w:val="22"/>
                <w:szCs w:val="22"/>
              </w:rPr>
            </w:pPr>
          </w:p>
        </w:tc>
        <w:tc>
          <w:tcPr>
            <w:tcW w:w="6656" w:type="dxa"/>
            <w:vMerge/>
            <w:shd w:val="clear" w:color="auto" w:fill="auto"/>
          </w:tcPr>
          <w:p w14:paraId="49DCD201" w14:textId="77777777" w:rsidR="00B46EE3" w:rsidRPr="00BC6D6A" w:rsidRDefault="00B46EE3">
            <w:pPr>
              <w:widowControl w:val="0"/>
              <w:pBdr>
                <w:top w:val="nil"/>
                <w:left w:val="nil"/>
                <w:bottom w:val="nil"/>
                <w:right w:val="nil"/>
                <w:between w:val="nil"/>
              </w:pBdr>
              <w:spacing w:line="276" w:lineRule="auto"/>
              <w:rPr>
                <w:rFonts w:cs="Times New Roman"/>
                <w:sz w:val="22"/>
                <w:szCs w:val="22"/>
              </w:rPr>
            </w:pPr>
          </w:p>
        </w:tc>
      </w:tr>
    </w:tbl>
    <w:p w14:paraId="59ED787C" w14:textId="77777777" w:rsidR="005965AE" w:rsidRPr="00BC6D6A" w:rsidRDefault="005965AE">
      <w:pPr>
        <w:spacing w:line="288" w:lineRule="auto"/>
        <w:jc w:val="both"/>
        <w:rPr>
          <w:rFonts w:cs="Times New Roman"/>
          <w:b/>
          <w:sz w:val="22"/>
          <w:szCs w:val="22"/>
        </w:rPr>
      </w:pPr>
    </w:p>
    <w:p w14:paraId="08E9C17A" w14:textId="6D40619B" w:rsidR="00B46EE3" w:rsidRPr="00BC6D6A" w:rsidRDefault="00000000">
      <w:pPr>
        <w:spacing w:line="288" w:lineRule="auto"/>
        <w:jc w:val="both"/>
        <w:rPr>
          <w:rFonts w:cs="Times New Roman"/>
          <w:b/>
          <w:sz w:val="22"/>
          <w:szCs w:val="22"/>
        </w:rPr>
      </w:pPr>
      <w:r w:rsidRPr="00BC6D6A">
        <w:rPr>
          <w:rFonts w:cs="Times New Roman"/>
          <w:b/>
          <w:sz w:val="22"/>
          <w:szCs w:val="22"/>
        </w:rPr>
        <w:t>PENDAHULUAN</w:t>
      </w:r>
    </w:p>
    <w:p w14:paraId="0AB020AB" w14:textId="77777777"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didefinisikan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saat</w:t>
      </w:r>
      <w:proofErr w:type="spellEnd"/>
      <w:r w:rsidRPr="00BC6D6A">
        <w:rPr>
          <w:rFonts w:cs="Times New Roman"/>
          <w:sz w:val="22"/>
          <w:szCs w:val="22"/>
        </w:rPr>
        <w:t xml:space="preserve"> </w:t>
      </w:r>
      <w:proofErr w:type="spellStart"/>
      <w:r w:rsidRPr="00BC6D6A">
        <w:rPr>
          <w:rFonts w:cs="Times New Roman"/>
          <w:sz w:val="22"/>
          <w:szCs w:val="22"/>
        </w:rPr>
        <w:t>sebelum</w:t>
      </w:r>
      <w:proofErr w:type="spellEnd"/>
      <w:r w:rsidRPr="00BC6D6A">
        <w:rPr>
          <w:rFonts w:cs="Times New Roman"/>
          <w:sz w:val="22"/>
          <w:szCs w:val="22"/>
        </w:rPr>
        <w:t xml:space="preserve"> </w:t>
      </w:r>
      <w:proofErr w:type="spellStart"/>
      <w:r w:rsidRPr="00BC6D6A">
        <w:rPr>
          <w:rFonts w:cs="Times New Roman"/>
          <w:sz w:val="22"/>
          <w:szCs w:val="22"/>
        </w:rPr>
        <w:t>melangsungkan</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upaya</w:t>
      </w:r>
      <w:proofErr w:type="spellEnd"/>
      <w:r w:rsidRPr="00BC6D6A">
        <w:rPr>
          <w:rFonts w:cs="Times New Roman"/>
          <w:sz w:val="22"/>
          <w:szCs w:val="22"/>
        </w:rPr>
        <w:t xml:space="preserve"> </w:t>
      </w:r>
      <w:proofErr w:type="spellStart"/>
      <w:r w:rsidRPr="00BC6D6A">
        <w:rPr>
          <w:rFonts w:cs="Times New Roman"/>
          <w:sz w:val="22"/>
          <w:szCs w:val="22"/>
        </w:rPr>
        <w:t>mengurangi</w:t>
      </w:r>
      <w:proofErr w:type="spellEnd"/>
      <w:r w:rsidRPr="00BC6D6A">
        <w:rPr>
          <w:rFonts w:cs="Times New Roman"/>
          <w:sz w:val="22"/>
          <w:szCs w:val="22"/>
        </w:rPr>
        <w:t xml:space="preserve"> </w:t>
      </w:r>
      <w:proofErr w:type="spellStart"/>
      <w:r w:rsidRPr="00BC6D6A">
        <w:rPr>
          <w:rFonts w:cs="Times New Roman"/>
          <w:sz w:val="22"/>
          <w:szCs w:val="22"/>
        </w:rPr>
        <w:t>risiko</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pasca-operasi</w:t>
      </w:r>
      <w:proofErr w:type="spellEnd"/>
      <w:r w:rsidRPr="00BC6D6A">
        <w:rPr>
          <w:rFonts w:cs="Times New Roman"/>
          <w:sz w:val="22"/>
          <w:szCs w:val="22"/>
        </w:rPr>
        <w:t xml:space="preserve"> (</w:t>
      </w:r>
      <w:proofErr w:type="spellStart"/>
      <w:r w:rsidRPr="00BC6D6A">
        <w:rPr>
          <w:rFonts w:cs="Times New Roman"/>
          <w:sz w:val="22"/>
          <w:szCs w:val="22"/>
        </w:rPr>
        <w:t>Lukito</w:t>
      </w:r>
      <w:proofErr w:type="spellEnd"/>
      <w:r w:rsidRPr="00BC6D6A">
        <w:rPr>
          <w:rFonts w:cs="Times New Roman"/>
          <w:sz w:val="22"/>
          <w:szCs w:val="22"/>
        </w:rPr>
        <w:t xml:space="preserve">, 2019). dan </w:t>
      </w:r>
      <w:proofErr w:type="spellStart"/>
      <w:r w:rsidRPr="00BC6D6A">
        <w:rPr>
          <w:rFonts w:cs="Times New Roman"/>
          <w:sz w:val="22"/>
          <w:szCs w:val="22"/>
        </w:rPr>
        <w:t>telah</w:t>
      </w:r>
      <w:proofErr w:type="spellEnd"/>
      <w:r w:rsidRPr="00BC6D6A">
        <w:rPr>
          <w:rFonts w:cs="Times New Roman"/>
          <w:sz w:val="22"/>
          <w:szCs w:val="22"/>
        </w:rPr>
        <w:t xml:space="preserve">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rutin </w:t>
      </w:r>
      <w:proofErr w:type="spellStart"/>
      <w:r w:rsidRPr="00BC6D6A">
        <w:rPr>
          <w:rFonts w:cs="Times New Roman"/>
          <w:sz w:val="22"/>
          <w:szCs w:val="22"/>
        </w:rPr>
        <w:t>selama</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25 </w:t>
      </w:r>
      <w:proofErr w:type="spellStart"/>
      <w:r w:rsidRPr="00BC6D6A">
        <w:rPr>
          <w:rFonts w:cs="Times New Roman"/>
          <w:sz w:val="22"/>
          <w:szCs w:val="22"/>
        </w:rPr>
        <w:t>tahun</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mengalami</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namun</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berpotensi</w:t>
      </w:r>
      <w:proofErr w:type="spellEnd"/>
      <w:r w:rsidRPr="00BC6D6A">
        <w:rPr>
          <w:rFonts w:cs="Times New Roman"/>
          <w:sz w:val="22"/>
          <w:szCs w:val="22"/>
        </w:rPr>
        <w:t xml:space="preserve"> </w:t>
      </w:r>
      <w:proofErr w:type="spellStart"/>
      <w:r w:rsidRPr="00BC6D6A">
        <w:rPr>
          <w:rFonts w:cs="Times New Roman"/>
          <w:sz w:val="22"/>
          <w:szCs w:val="22"/>
        </w:rPr>
        <w:t>terinfeksi</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w:t>
      </w:r>
      <w:proofErr w:type="spellStart"/>
      <w:r w:rsidRPr="00BC6D6A">
        <w:rPr>
          <w:rFonts w:cs="Times New Roman"/>
          <w:sz w:val="22"/>
          <w:szCs w:val="22"/>
        </w:rPr>
        <w:t>jika</w:t>
      </w:r>
      <w:proofErr w:type="spellEnd"/>
      <w:r w:rsidRPr="00BC6D6A">
        <w:rPr>
          <w:rFonts w:cs="Times New Roman"/>
          <w:sz w:val="22"/>
          <w:szCs w:val="22"/>
        </w:rPr>
        <w:t xml:space="preserve"> </w:t>
      </w:r>
      <w:proofErr w:type="spellStart"/>
      <w:r w:rsidRPr="00BC6D6A">
        <w:rPr>
          <w:rFonts w:cs="Times New Roman"/>
          <w:sz w:val="22"/>
          <w:szCs w:val="22"/>
        </w:rPr>
        <w:t>terinfeksi</w:t>
      </w:r>
      <w:proofErr w:type="spellEnd"/>
      <w:r w:rsidRPr="00BC6D6A">
        <w:rPr>
          <w:rFonts w:cs="Times New Roman"/>
          <w:sz w:val="22"/>
          <w:szCs w:val="22"/>
        </w:rPr>
        <w:t xml:space="preserve"> </w:t>
      </w:r>
      <w:proofErr w:type="spellStart"/>
      <w:r w:rsidRPr="00BC6D6A">
        <w:rPr>
          <w:rFonts w:cs="Times New Roman"/>
          <w:sz w:val="22"/>
          <w:szCs w:val="22"/>
        </w:rPr>
        <w:t>bisa</w:t>
      </w:r>
      <w:proofErr w:type="spellEnd"/>
      <w:r w:rsidRPr="00BC6D6A">
        <w:rPr>
          <w:rFonts w:cs="Times New Roman"/>
          <w:sz w:val="22"/>
          <w:szCs w:val="22"/>
        </w:rPr>
        <w:t xml:space="preserve"> </w:t>
      </w:r>
      <w:proofErr w:type="spellStart"/>
      <w:r w:rsidRPr="00BC6D6A">
        <w:rPr>
          <w:rFonts w:cs="Times New Roman"/>
          <w:sz w:val="22"/>
          <w:szCs w:val="22"/>
        </w:rPr>
        <w:t>berdampak</w:t>
      </w:r>
      <w:proofErr w:type="spellEnd"/>
      <w:r w:rsidRPr="00BC6D6A">
        <w:rPr>
          <w:rFonts w:cs="Times New Roman"/>
          <w:sz w:val="22"/>
          <w:szCs w:val="22"/>
        </w:rPr>
        <w:t xml:space="preserve"> </w:t>
      </w:r>
      <w:proofErr w:type="spellStart"/>
      <w:r w:rsidRPr="00BC6D6A">
        <w:rPr>
          <w:rFonts w:cs="Times New Roman"/>
          <w:sz w:val="22"/>
          <w:szCs w:val="22"/>
        </w:rPr>
        <w:t>buruk</w:t>
      </w:r>
      <w:proofErr w:type="spellEnd"/>
      <w:r w:rsidRPr="00BC6D6A">
        <w:rPr>
          <w:rFonts w:cs="Times New Roman"/>
          <w:sz w:val="22"/>
          <w:szCs w:val="22"/>
        </w:rPr>
        <w:t xml:space="preserve"> </w:t>
      </w:r>
      <w:proofErr w:type="spellStart"/>
      <w:r w:rsidRPr="00BC6D6A">
        <w:rPr>
          <w:rFonts w:cs="Times New Roman"/>
          <w:sz w:val="22"/>
          <w:szCs w:val="22"/>
        </w:rPr>
        <w:t>bagi</w:t>
      </w:r>
      <w:proofErr w:type="spellEnd"/>
      <w:r w:rsidRPr="00BC6D6A">
        <w:rPr>
          <w:rFonts w:cs="Times New Roman"/>
          <w:sz w:val="22"/>
          <w:szCs w:val="22"/>
        </w:rPr>
        <w:t xml:space="preserve"> </w:t>
      </w:r>
      <w:proofErr w:type="spellStart"/>
      <w:r w:rsidRPr="00BC6D6A">
        <w:rPr>
          <w:rFonts w:cs="Times New Roman"/>
          <w:sz w:val="22"/>
          <w:szCs w:val="22"/>
        </w:rPr>
        <w:t>penderita</w:t>
      </w:r>
      <w:proofErr w:type="spellEnd"/>
      <w:r w:rsidRPr="00BC6D6A">
        <w:rPr>
          <w:rFonts w:cs="Times New Roman"/>
          <w:sz w:val="22"/>
          <w:szCs w:val="22"/>
        </w:rPr>
        <w:t xml:space="preserve">. (Jones MW, </w:t>
      </w:r>
      <w:r w:rsidRPr="00BC6D6A">
        <w:rPr>
          <w:rFonts w:cs="Times New Roman"/>
          <w:sz w:val="22"/>
          <w:szCs w:val="22"/>
        </w:rPr>
        <w:lastRenderedPageBreak/>
        <w:t xml:space="preserve">2023; </w:t>
      </w:r>
      <w:proofErr w:type="spellStart"/>
      <w:r w:rsidRPr="00BC6D6A">
        <w:rPr>
          <w:rFonts w:cs="Times New Roman"/>
          <w:sz w:val="22"/>
          <w:szCs w:val="22"/>
        </w:rPr>
        <w:t>Vessal</w:t>
      </w:r>
      <w:proofErr w:type="spellEnd"/>
      <w:r w:rsidRPr="00BC6D6A">
        <w:rPr>
          <w:rFonts w:cs="Times New Roman"/>
          <w:sz w:val="22"/>
          <w:szCs w:val="22"/>
        </w:rPr>
        <w:t xml:space="preserve"> et al., 2011). </w:t>
      </w:r>
      <w:proofErr w:type="spellStart"/>
      <w:r w:rsidRPr="00BC6D6A">
        <w:rPr>
          <w:rFonts w:cs="Times New Roman"/>
          <w:sz w:val="22"/>
          <w:szCs w:val="22"/>
        </w:rPr>
        <w:t>Menurut</w:t>
      </w:r>
      <w:proofErr w:type="spellEnd"/>
      <w:r w:rsidRPr="00BC6D6A">
        <w:rPr>
          <w:rFonts w:cs="Times New Roman"/>
          <w:sz w:val="22"/>
          <w:szCs w:val="22"/>
        </w:rPr>
        <w:t xml:space="preserve"> </w:t>
      </w:r>
      <w:proofErr w:type="spellStart"/>
      <w:r w:rsidRPr="00BC6D6A">
        <w:rPr>
          <w:rFonts w:cs="Times New Roman"/>
          <w:sz w:val="22"/>
          <w:szCs w:val="22"/>
        </w:rPr>
        <w:t>Peraturan</w:t>
      </w:r>
      <w:proofErr w:type="spellEnd"/>
      <w:r w:rsidRPr="00BC6D6A">
        <w:rPr>
          <w:rFonts w:cs="Times New Roman"/>
          <w:sz w:val="22"/>
          <w:szCs w:val="22"/>
        </w:rPr>
        <w:t xml:space="preserve"> Menteri Kesehatan </w:t>
      </w:r>
      <w:proofErr w:type="spellStart"/>
      <w:r w:rsidRPr="00BC6D6A">
        <w:rPr>
          <w:rFonts w:cs="Times New Roman"/>
          <w:sz w:val="22"/>
          <w:szCs w:val="22"/>
        </w:rPr>
        <w:t>Republik</w:t>
      </w:r>
      <w:proofErr w:type="spellEnd"/>
      <w:r w:rsidRPr="00BC6D6A">
        <w:rPr>
          <w:rFonts w:cs="Times New Roman"/>
          <w:sz w:val="22"/>
          <w:szCs w:val="22"/>
        </w:rPr>
        <w:t xml:space="preserve"> Indonesia </w:t>
      </w:r>
      <w:proofErr w:type="spellStart"/>
      <w:r w:rsidRPr="00BC6D6A">
        <w:rPr>
          <w:rFonts w:cs="Times New Roman"/>
          <w:sz w:val="22"/>
          <w:szCs w:val="22"/>
        </w:rPr>
        <w:t>Nomor</w:t>
      </w:r>
      <w:proofErr w:type="spellEnd"/>
      <w:r w:rsidRPr="00BC6D6A">
        <w:rPr>
          <w:rFonts w:cs="Times New Roman"/>
          <w:sz w:val="22"/>
          <w:szCs w:val="22"/>
        </w:rPr>
        <w:t xml:space="preserve"> 28 </w:t>
      </w:r>
      <w:proofErr w:type="spellStart"/>
      <w:r w:rsidRPr="00BC6D6A">
        <w:rPr>
          <w:rFonts w:cs="Times New Roman"/>
          <w:sz w:val="22"/>
          <w:szCs w:val="22"/>
        </w:rPr>
        <w:t>tahun</w:t>
      </w:r>
      <w:proofErr w:type="spellEnd"/>
      <w:r w:rsidRPr="00BC6D6A">
        <w:rPr>
          <w:rFonts w:cs="Times New Roman"/>
          <w:sz w:val="22"/>
          <w:szCs w:val="22"/>
        </w:rPr>
        <w:t xml:space="preserve"> 2021 </w:t>
      </w:r>
      <w:proofErr w:type="spellStart"/>
      <w:r w:rsidRPr="00BC6D6A">
        <w:rPr>
          <w:rFonts w:cs="Times New Roman"/>
          <w:sz w:val="22"/>
          <w:szCs w:val="22"/>
        </w:rPr>
        <w:t>Tentang</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w:t>
      </w:r>
      <w:proofErr w:type="spellStart"/>
      <w:r w:rsidRPr="00BC6D6A">
        <w:rPr>
          <w:rFonts w:cs="Times New Roman"/>
          <w:sz w:val="22"/>
          <w:szCs w:val="22"/>
        </w:rPr>
        <w:t>melibatkan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sebelum</w:t>
      </w:r>
      <w:proofErr w:type="spellEnd"/>
      <w:r w:rsidRPr="00BC6D6A">
        <w:rPr>
          <w:rFonts w:cs="Times New Roman"/>
          <w:sz w:val="22"/>
          <w:szCs w:val="22"/>
        </w:rPr>
        <w:t xml:space="preserve">, </w:t>
      </w:r>
      <w:proofErr w:type="spellStart"/>
      <w:r w:rsidRPr="00BC6D6A">
        <w:rPr>
          <w:rFonts w:cs="Times New Roman"/>
          <w:sz w:val="22"/>
          <w:szCs w:val="22"/>
        </w:rPr>
        <w:t>selama</w:t>
      </w:r>
      <w:proofErr w:type="spellEnd"/>
      <w:r w:rsidRPr="00BC6D6A">
        <w:rPr>
          <w:rFonts w:cs="Times New Roman"/>
          <w:sz w:val="22"/>
          <w:szCs w:val="22"/>
        </w:rPr>
        <w:t xml:space="preserve"> dan </w:t>
      </w:r>
      <w:proofErr w:type="spellStart"/>
      <w:r w:rsidRPr="00BC6D6A">
        <w:rPr>
          <w:rFonts w:cs="Times New Roman"/>
          <w:sz w:val="22"/>
          <w:szCs w:val="22"/>
        </w:rPr>
        <w:t>selambat-lambatnya</w:t>
      </w:r>
      <w:proofErr w:type="spellEnd"/>
      <w:r w:rsidRPr="00BC6D6A">
        <w:rPr>
          <w:rFonts w:cs="Times New Roman"/>
          <w:sz w:val="22"/>
          <w:szCs w:val="22"/>
        </w:rPr>
        <w:t xml:space="preserve"> 24 jam </w:t>
      </w:r>
      <w:proofErr w:type="spellStart"/>
      <w:r w:rsidRPr="00BC6D6A">
        <w:rPr>
          <w:rFonts w:cs="Times New Roman"/>
          <w:sz w:val="22"/>
          <w:szCs w:val="22"/>
        </w:rPr>
        <w:t>setelah</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pada </w:t>
      </w:r>
      <w:proofErr w:type="spellStart"/>
      <w:r w:rsidRPr="00BC6D6A">
        <w:rPr>
          <w:rFonts w:cs="Times New Roman"/>
          <w:sz w:val="22"/>
          <w:szCs w:val="22"/>
        </w:rPr>
        <w:t>kasus</w:t>
      </w:r>
      <w:proofErr w:type="spellEnd"/>
      <w:r w:rsidRPr="00BC6D6A">
        <w:rPr>
          <w:rFonts w:cs="Times New Roman"/>
          <w:sz w:val="22"/>
          <w:szCs w:val="22"/>
        </w:rPr>
        <w:t xml:space="preserve"> </w:t>
      </w:r>
      <w:proofErr w:type="spellStart"/>
      <w:r w:rsidRPr="00BC6D6A">
        <w:rPr>
          <w:rFonts w:cs="Times New Roman"/>
          <w:sz w:val="22"/>
          <w:szCs w:val="22"/>
        </w:rPr>
        <w:t>gejala</w:t>
      </w:r>
      <w:proofErr w:type="spellEnd"/>
      <w:r w:rsidRPr="00BC6D6A">
        <w:rPr>
          <w:rFonts w:cs="Times New Roman"/>
          <w:sz w:val="22"/>
          <w:szCs w:val="22"/>
        </w:rPr>
        <w:t xml:space="preserve"> </w:t>
      </w:r>
      <w:proofErr w:type="spellStart"/>
      <w:r w:rsidRPr="00BC6D6A">
        <w:rPr>
          <w:rFonts w:cs="Times New Roman"/>
          <w:sz w:val="22"/>
          <w:szCs w:val="22"/>
        </w:rPr>
        <w:t>klinis</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mencegah</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pada </w:t>
      </w:r>
      <w:proofErr w:type="spellStart"/>
      <w:r w:rsidRPr="00BC6D6A">
        <w:rPr>
          <w:rFonts w:cs="Times New Roman"/>
          <w:sz w:val="22"/>
          <w:szCs w:val="22"/>
        </w:rPr>
        <w:t>luka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(ILO) (</w:t>
      </w:r>
      <w:proofErr w:type="spellStart"/>
      <w:r w:rsidRPr="00BC6D6A">
        <w:rPr>
          <w:rFonts w:cs="Times New Roman"/>
          <w:sz w:val="22"/>
          <w:szCs w:val="22"/>
        </w:rPr>
        <w:t>Permenkes</w:t>
      </w:r>
      <w:proofErr w:type="spellEnd"/>
      <w:r w:rsidRPr="00BC6D6A">
        <w:rPr>
          <w:rFonts w:cs="Times New Roman"/>
          <w:sz w:val="22"/>
          <w:szCs w:val="22"/>
        </w:rPr>
        <w:t xml:space="preserve"> RI, 2021). </w:t>
      </w:r>
    </w:p>
    <w:p w14:paraId="21E1EE34" w14:textId="77777777"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(ILO) </w:t>
      </w:r>
      <w:proofErr w:type="spellStart"/>
      <w:r w:rsidRPr="00BC6D6A">
        <w:rPr>
          <w:rFonts w:cs="Times New Roman"/>
          <w:sz w:val="22"/>
          <w:szCs w:val="22"/>
        </w:rPr>
        <w:t>adalah</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nosokomial</w:t>
      </w:r>
      <w:proofErr w:type="spellEnd"/>
      <w:r w:rsidRPr="00BC6D6A">
        <w:rPr>
          <w:rFonts w:cs="Times New Roman"/>
          <w:sz w:val="22"/>
          <w:szCs w:val="22"/>
        </w:rPr>
        <w:t xml:space="preserve"> paling universal </w:t>
      </w:r>
      <w:proofErr w:type="spellStart"/>
      <w:r w:rsidRPr="00BC6D6A">
        <w:rPr>
          <w:rFonts w:cs="Times New Roman"/>
          <w:sz w:val="22"/>
          <w:szCs w:val="22"/>
        </w:rPr>
        <w:t>terjadi</w:t>
      </w:r>
      <w:proofErr w:type="spellEnd"/>
      <w:r w:rsidRPr="00BC6D6A">
        <w:rPr>
          <w:rFonts w:cs="Times New Roman"/>
          <w:sz w:val="22"/>
          <w:szCs w:val="22"/>
        </w:rPr>
        <w:t xml:space="preserve"> pada </w:t>
      </w:r>
      <w:proofErr w:type="spellStart"/>
      <w:r w:rsidRPr="00BC6D6A">
        <w:rPr>
          <w:rFonts w:cs="Times New Roman"/>
          <w:sz w:val="22"/>
          <w:szCs w:val="22"/>
        </w:rPr>
        <w:t>bekas</w:t>
      </w:r>
      <w:proofErr w:type="spellEnd"/>
      <w:r w:rsidRPr="00BC6D6A">
        <w:rPr>
          <w:rFonts w:cs="Times New Roman"/>
          <w:sz w:val="22"/>
          <w:szCs w:val="22"/>
        </w:rPr>
        <w:t xml:space="preserve"> </w:t>
      </w:r>
      <w:proofErr w:type="spellStart"/>
      <w:r w:rsidRPr="00BC6D6A">
        <w:rPr>
          <w:rFonts w:cs="Times New Roman"/>
          <w:sz w:val="22"/>
          <w:szCs w:val="22"/>
        </w:rPr>
        <w:t>sayatan</w:t>
      </w:r>
      <w:proofErr w:type="spellEnd"/>
      <w:r w:rsidRPr="00BC6D6A">
        <w:rPr>
          <w:rFonts w:cs="Times New Roman"/>
          <w:sz w:val="22"/>
          <w:szCs w:val="22"/>
        </w:rPr>
        <w:t xml:space="preserve"> </w:t>
      </w:r>
      <w:proofErr w:type="spellStart"/>
      <w:r w:rsidRPr="00BC6D6A">
        <w:rPr>
          <w:rFonts w:cs="Times New Roman"/>
          <w:sz w:val="22"/>
          <w:szCs w:val="22"/>
        </w:rPr>
        <w:t>setelah</w:t>
      </w:r>
      <w:proofErr w:type="spellEnd"/>
      <w:r w:rsidRPr="00BC6D6A">
        <w:rPr>
          <w:rFonts w:cs="Times New Roman"/>
          <w:sz w:val="22"/>
          <w:szCs w:val="22"/>
        </w:rPr>
        <w:t xml:space="preserve"> </w:t>
      </w:r>
      <w:proofErr w:type="spellStart"/>
      <w:r w:rsidRPr="00BC6D6A">
        <w:rPr>
          <w:rFonts w:cs="Times New Roman"/>
          <w:sz w:val="22"/>
          <w:szCs w:val="22"/>
        </w:rPr>
        <w:t>tindakan</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oleh </w:t>
      </w:r>
      <w:proofErr w:type="spellStart"/>
      <w:r w:rsidRPr="00BC6D6A">
        <w:rPr>
          <w:rFonts w:cs="Times New Roman"/>
          <w:sz w:val="22"/>
          <w:szCs w:val="22"/>
        </w:rPr>
        <w:t>sebab</w:t>
      </w:r>
      <w:proofErr w:type="spellEnd"/>
      <w:r w:rsidRPr="00BC6D6A">
        <w:rPr>
          <w:rFonts w:cs="Times New Roman"/>
          <w:sz w:val="22"/>
          <w:szCs w:val="22"/>
        </w:rPr>
        <w:t xml:space="preserve"> </w:t>
      </w:r>
      <w:proofErr w:type="spellStart"/>
      <w:r w:rsidRPr="00BC6D6A">
        <w:rPr>
          <w:rFonts w:cs="Times New Roman"/>
          <w:sz w:val="22"/>
          <w:szCs w:val="22"/>
        </w:rPr>
        <w:t>itu</w:t>
      </w:r>
      <w:proofErr w:type="spellEnd"/>
      <w:r w:rsidRPr="00BC6D6A">
        <w:rPr>
          <w:rFonts w:cs="Times New Roman"/>
          <w:sz w:val="22"/>
          <w:szCs w:val="22"/>
        </w:rPr>
        <w:t xml:space="preserve"> </w:t>
      </w:r>
      <w:proofErr w:type="spellStart"/>
      <w:r w:rsidRPr="00BC6D6A">
        <w:rPr>
          <w:rFonts w:cs="Times New Roman"/>
          <w:sz w:val="22"/>
          <w:szCs w:val="22"/>
        </w:rPr>
        <w:t>bisa</w:t>
      </w:r>
      <w:proofErr w:type="spellEnd"/>
      <w:r w:rsidRPr="00BC6D6A">
        <w:rPr>
          <w:rFonts w:cs="Times New Roman"/>
          <w:sz w:val="22"/>
          <w:szCs w:val="22"/>
        </w:rPr>
        <w:t xml:space="preserve"> </w:t>
      </w:r>
      <w:proofErr w:type="spellStart"/>
      <w:r w:rsidRPr="00BC6D6A">
        <w:rPr>
          <w:rFonts w:cs="Times New Roman"/>
          <w:sz w:val="22"/>
          <w:szCs w:val="22"/>
        </w:rPr>
        <w:t>meningkatkan</w:t>
      </w:r>
      <w:proofErr w:type="spellEnd"/>
      <w:r w:rsidRPr="00BC6D6A">
        <w:rPr>
          <w:rFonts w:cs="Times New Roman"/>
          <w:sz w:val="22"/>
          <w:szCs w:val="22"/>
        </w:rPr>
        <w:t xml:space="preserve"> </w:t>
      </w:r>
      <w:proofErr w:type="spellStart"/>
      <w:r w:rsidRPr="00BC6D6A">
        <w:rPr>
          <w:rFonts w:cs="Times New Roman"/>
          <w:sz w:val="22"/>
          <w:szCs w:val="22"/>
        </w:rPr>
        <w:t>angka</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mortalitas</w:t>
      </w:r>
      <w:proofErr w:type="spellEnd"/>
      <w:r w:rsidRPr="00BC6D6A">
        <w:rPr>
          <w:rFonts w:cs="Times New Roman"/>
          <w:sz w:val="22"/>
          <w:szCs w:val="22"/>
        </w:rPr>
        <w:t xml:space="preserve">, lama </w:t>
      </w:r>
      <w:proofErr w:type="spellStart"/>
      <w:r w:rsidRPr="00BC6D6A">
        <w:rPr>
          <w:rFonts w:cs="Times New Roman"/>
          <w:sz w:val="22"/>
          <w:szCs w:val="22"/>
        </w:rPr>
        <w:t>rawat</w:t>
      </w:r>
      <w:proofErr w:type="spellEnd"/>
      <w:r w:rsidRPr="00BC6D6A">
        <w:rPr>
          <w:rFonts w:cs="Times New Roman"/>
          <w:sz w:val="22"/>
          <w:szCs w:val="22"/>
        </w:rPr>
        <w:t xml:space="preserve">, </w:t>
      </w:r>
      <w:proofErr w:type="spellStart"/>
      <w:r w:rsidRPr="00BC6D6A">
        <w:rPr>
          <w:rFonts w:cs="Times New Roman"/>
          <w:sz w:val="22"/>
          <w:szCs w:val="22"/>
        </w:rPr>
        <w:t>morbiditas</w:t>
      </w:r>
      <w:proofErr w:type="spellEnd"/>
      <w:r w:rsidRPr="00BC6D6A">
        <w:rPr>
          <w:rFonts w:cs="Times New Roman"/>
          <w:sz w:val="22"/>
          <w:szCs w:val="22"/>
        </w:rPr>
        <w:t xml:space="preserve">, dan </w:t>
      </w:r>
      <w:proofErr w:type="spellStart"/>
      <w:r w:rsidRPr="00BC6D6A">
        <w:rPr>
          <w:rFonts w:cs="Times New Roman"/>
          <w:sz w:val="22"/>
          <w:szCs w:val="22"/>
        </w:rPr>
        <w:t>biaya</w:t>
      </w:r>
      <w:proofErr w:type="spellEnd"/>
      <w:r w:rsidRPr="00BC6D6A">
        <w:rPr>
          <w:rFonts w:cs="Times New Roman"/>
          <w:sz w:val="22"/>
          <w:szCs w:val="22"/>
        </w:rPr>
        <w:t xml:space="preserve"> </w:t>
      </w:r>
      <w:proofErr w:type="spellStart"/>
      <w:r w:rsidRPr="00BC6D6A">
        <w:rPr>
          <w:rFonts w:cs="Times New Roman"/>
          <w:sz w:val="22"/>
          <w:szCs w:val="22"/>
        </w:rPr>
        <w:t>perawatan</w:t>
      </w:r>
      <w:proofErr w:type="spellEnd"/>
      <w:r w:rsidRPr="00BC6D6A">
        <w:rPr>
          <w:rFonts w:cs="Times New Roman"/>
          <w:sz w:val="22"/>
          <w:szCs w:val="22"/>
        </w:rPr>
        <w:t>. (</w:t>
      </w:r>
      <w:proofErr w:type="spellStart"/>
      <w:r w:rsidRPr="00BC6D6A">
        <w:rPr>
          <w:rFonts w:cs="Times New Roman"/>
          <w:sz w:val="22"/>
          <w:szCs w:val="22"/>
        </w:rPr>
        <w:t>Fitratiara</w:t>
      </w:r>
      <w:proofErr w:type="spellEnd"/>
      <w:r w:rsidRPr="00BC6D6A">
        <w:rPr>
          <w:rFonts w:cs="Times New Roman"/>
          <w:sz w:val="22"/>
          <w:szCs w:val="22"/>
        </w:rPr>
        <w:t xml:space="preserve"> et al., 2022).</w:t>
      </w:r>
    </w:p>
    <w:p w14:paraId="737C0F90" w14:textId="77777777"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Menurut</w:t>
      </w:r>
      <w:proofErr w:type="spellEnd"/>
      <w:r w:rsidRPr="00BC6D6A">
        <w:rPr>
          <w:rFonts w:cs="Times New Roman"/>
          <w:sz w:val="22"/>
          <w:szCs w:val="22"/>
        </w:rPr>
        <w:t xml:space="preserve"> data Kementerian Kesehatan RI (2012) </w:t>
      </w:r>
      <w:proofErr w:type="spellStart"/>
      <w:r w:rsidRPr="00BC6D6A">
        <w:rPr>
          <w:rFonts w:cs="Times New Roman"/>
          <w:sz w:val="22"/>
          <w:szCs w:val="22"/>
        </w:rPr>
        <w:t>mencatat</w:t>
      </w:r>
      <w:proofErr w:type="spellEnd"/>
      <w:r w:rsidRPr="00BC6D6A">
        <w:rPr>
          <w:rFonts w:cs="Times New Roman"/>
          <w:sz w:val="22"/>
          <w:szCs w:val="22"/>
        </w:rPr>
        <w:t xml:space="preserve"> </w:t>
      </w:r>
      <w:proofErr w:type="spellStart"/>
      <w:r w:rsidRPr="00BC6D6A">
        <w:rPr>
          <w:rFonts w:cs="Times New Roman"/>
          <w:sz w:val="22"/>
          <w:szCs w:val="22"/>
        </w:rPr>
        <w:t>tindakan</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mayor di Indonesia sangat </w:t>
      </w:r>
      <w:proofErr w:type="spellStart"/>
      <w:r w:rsidRPr="00BC6D6A">
        <w:rPr>
          <w:rFonts w:cs="Times New Roman"/>
          <w:sz w:val="22"/>
          <w:szCs w:val="22"/>
        </w:rPr>
        <w:t>tinggi</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w:t>
      </w:r>
      <w:proofErr w:type="spellStart"/>
      <w:r w:rsidRPr="00BC6D6A">
        <w:rPr>
          <w:rFonts w:cs="Times New Roman"/>
          <w:sz w:val="22"/>
          <w:szCs w:val="22"/>
        </w:rPr>
        <w:t>mencapai</w:t>
      </w:r>
      <w:proofErr w:type="spellEnd"/>
      <w:r w:rsidRPr="00BC6D6A">
        <w:rPr>
          <w:rFonts w:cs="Times New Roman"/>
          <w:sz w:val="22"/>
          <w:szCs w:val="22"/>
        </w:rPr>
        <w:t xml:space="preserve"> 75% </w:t>
      </w:r>
      <w:proofErr w:type="spellStart"/>
      <w:r w:rsidRPr="00BC6D6A">
        <w:rPr>
          <w:rFonts w:cs="Times New Roman"/>
          <w:sz w:val="22"/>
          <w:szCs w:val="22"/>
        </w:rPr>
        <w:t>kasus</w:t>
      </w:r>
      <w:proofErr w:type="spellEnd"/>
      <w:r w:rsidRPr="00BC6D6A">
        <w:rPr>
          <w:rFonts w:cs="Times New Roman"/>
          <w:sz w:val="22"/>
          <w:szCs w:val="22"/>
        </w:rPr>
        <w:t xml:space="preserve"> dan 60% </w:t>
      </w:r>
      <w:proofErr w:type="spellStart"/>
      <w:r w:rsidRPr="00BC6D6A">
        <w:rPr>
          <w:rFonts w:cs="Times New Roman"/>
          <w:sz w:val="22"/>
          <w:szCs w:val="22"/>
        </w:rPr>
        <w:t>diantaranya</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(Fadli et al., 2019). Bedah abdomen </w:t>
      </w:r>
      <w:proofErr w:type="spellStart"/>
      <w:r w:rsidRPr="00BC6D6A">
        <w:rPr>
          <w:rFonts w:cs="Times New Roman"/>
          <w:sz w:val="22"/>
          <w:szCs w:val="22"/>
        </w:rPr>
        <w:t>terbukti</w:t>
      </w:r>
      <w:proofErr w:type="spellEnd"/>
      <w:r w:rsidRPr="00BC6D6A">
        <w:rPr>
          <w:rFonts w:cs="Times New Roman"/>
          <w:sz w:val="22"/>
          <w:szCs w:val="22"/>
        </w:rPr>
        <w:t xml:space="preserve"> </w:t>
      </w:r>
      <w:proofErr w:type="spellStart"/>
      <w:r w:rsidRPr="00BC6D6A">
        <w:rPr>
          <w:rFonts w:cs="Times New Roman"/>
          <w:sz w:val="22"/>
          <w:szCs w:val="22"/>
        </w:rPr>
        <w:t>memiliki</w:t>
      </w:r>
      <w:proofErr w:type="spellEnd"/>
      <w:r w:rsidRPr="00BC6D6A">
        <w:rPr>
          <w:rFonts w:cs="Times New Roman"/>
          <w:sz w:val="22"/>
          <w:szCs w:val="22"/>
        </w:rPr>
        <w:t xml:space="preserve"> </w:t>
      </w:r>
      <w:proofErr w:type="spellStart"/>
      <w:r w:rsidRPr="00BC6D6A">
        <w:rPr>
          <w:rFonts w:cs="Times New Roman"/>
          <w:sz w:val="22"/>
          <w:szCs w:val="22"/>
        </w:rPr>
        <w:t>risiko</w:t>
      </w:r>
      <w:proofErr w:type="spellEnd"/>
      <w:r w:rsidRPr="00BC6D6A">
        <w:rPr>
          <w:rFonts w:cs="Times New Roman"/>
          <w:sz w:val="22"/>
          <w:szCs w:val="22"/>
        </w:rPr>
        <w:t xml:space="preserve"> 4,46 kali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tinggi</w:t>
      </w:r>
      <w:proofErr w:type="spellEnd"/>
      <w:r w:rsidRPr="00BC6D6A">
        <w:rPr>
          <w:rFonts w:cs="Times New Roman"/>
          <w:sz w:val="22"/>
          <w:szCs w:val="22"/>
        </w:rPr>
        <w:t xml:space="preserve"> </w:t>
      </w:r>
      <w:proofErr w:type="spellStart"/>
      <w:r w:rsidRPr="00BC6D6A">
        <w:rPr>
          <w:rFonts w:cs="Times New Roman"/>
          <w:sz w:val="22"/>
          <w:szCs w:val="22"/>
        </w:rPr>
        <w:t>terkena</w:t>
      </w:r>
      <w:proofErr w:type="spellEnd"/>
      <w:r w:rsidRPr="00BC6D6A">
        <w:rPr>
          <w:rFonts w:cs="Times New Roman"/>
          <w:sz w:val="22"/>
          <w:szCs w:val="22"/>
        </w:rPr>
        <w:t xml:space="preserve"> ILO </w:t>
      </w:r>
      <w:proofErr w:type="spellStart"/>
      <w:r w:rsidRPr="00BC6D6A">
        <w:rPr>
          <w:rFonts w:cs="Times New Roman"/>
          <w:sz w:val="22"/>
          <w:szCs w:val="22"/>
        </w:rPr>
        <w:t>dibandingkan</w:t>
      </w:r>
      <w:proofErr w:type="spellEnd"/>
      <w:r w:rsidRPr="00BC6D6A">
        <w:rPr>
          <w:rFonts w:cs="Times New Roman"/>
          <w:sz w:val="22"/>
          <w:szCs w:val="22"/>
        </w:rPr>
        <w:t xml:space="preserve"> </w:t>
      </w:r>
      <w:proofErr w:type="spellStart"/>
      <w:r w:rsidRPr="00BC6D6A">
        <w:rPr>
          <w:rFonts w:cs="Times New Roman"/>
          <w:sz w:val="22"/>
          <w:szCs w:val="22"/>
        </w:rPr>
        <w:t>prosedur</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w:t>
      </w:r>
      <w:proofErr w:type="spellStart"/>
      <w:r w:rsidRPr="00BC6D6A">
        <w:rPr>
          <w:rFonts w:cs="Times New Roman"/>
          <w:sz w:val="22"/>
          <w:szCs w:val="22"/>
        </w:rPr>
        <w:t>lainnya</w:t>
      </w:r>
      <w:proofErr w:type="spellEnd"/>
      <w:r w:rsidRPr="00BC6D6A">
        <w:rPr>
          <w:rFonts w:cs="Times New Roman"/>
          <w:sz w:val="22"/>
          <w:szCs w:val="22"/>
        </w:rPr>
        <w:t xml:space="preserve">. </w:t>
      </w:r>
      <w:proofErr w:type="spellStart"/>
      <w:r w:rsidRPr="00BC6D6A">
        <w:rPr>
          <w:rFonts w:cs="Times New Roman"/>
          <w:sz w:val="22"/>
          <w:szCs w:val="22"/>
        </w:rPr>
        <w:t>Sebuah</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di Vietnam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ILO </w:t>
      </w:r>
      <w:proofErr w:type="spellStart"/>
      <w:r w:rsidRPr="00BC6D6A">
        <w:rPr>
          <w:rFonts w:cs="Times New Roman"/>
          <w:sz w:val="22"/>
          <w:szCs w:val="22"/>
        </w:rPr>
        <w:t>sebesar</w:t>
      </w:r>
      <w:proofErr w:type="spellEnd"/>
      <w:r w:rsidRPr="00BC6D6A">
        <w:rPr>
          <w:rFonts w:cs="Times New Roman"/>
          <w:sz w:val="22"/>
          <w:szCs w:val="22"/>
        </w:rPr>
        <w:t xml:space="preserve"> 10,9% </w:t>
      </w:r>
      <w:proofErr w:type="spellStart"/>
      <w:r w:rsidRPr="00BC6D6A">
        <w:rPr>
          <w:rFonts w:cs="Times New Roman"/>
          <w:sz w:val="22"/>
          <w:szCs w:val="22"/>
        </w:rPr>
        <w:t>dari</w:t>
      </w:r>
      <w:proofErr w:type="spellEnd"/>
      <w:r w:rsidRPr="00BC6D6A">
        <w:rPr>
          <w:rFonts w:cs="Times New Roman"/>
          <w:sz w:val="22"/>
          <w:szCs w:val="22"/>
        </w:rPr>
        <w:t xml:space="preserve"> 697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Badriul</w:t>
      </w:r>
      <w:proofErr w:type="spellEnd"/>
      <w:r w:rsidRPr="00BC6D6A">
        <w:rPr>
          <w:rFonts w:cs="Times New Roman"/>
          <w:sz w:val="22"/>
          <w:szCs w:val="22"/>
        </w:rPr>
        <w:t xml:space="preserve"> et al., 2013; </w:t>
      </w:r>
      <w:proofErr w:type="spellStart"/>
      <w:r w:rsidRPr="00BC6D6A">
        <w:rPr>
          <w:rFonts w:cs="Times New Roman"/>
          <w:sz w:val="22"/>
          <w:szCs w:val="22"/>
        </w:rPr>
        <w:t>Hidayatika</w:t>
      </w:r>
      <w:proofErr w:type="spellEnd"/>
      <w:r w:rsidRPr="00BC6D6A">
        <w:rPr>
          <w:rFonts w:cs="Times New Roman"/>
          <w:sz w:val="22"/>
          <w:szCs w:val="22"/>
        </w:rPr>
        <w:t xml:space="preserve"> et al., 2019).</w:t>
      </w:r>
    </w:p>
    <w:p w14:paraId="796DFCDF" w14:textId="77777777"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dibutuhkan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menghindari</w:t>
      </w:r>
      <w:proofErr w:type="spellEnd"/>
      <w:r w:rsidRPr="00BC6D6A">
        <w:rPr>
          <w:rFonts w:cs="Times New Roman"/>
          <w:sz w:val="22"/>
          <w:szCs w:val="22"/>
        </w:rPr>
        <w:t xml:space="preserve"> ILO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Antibiotik</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guna</w:t>
      </w:r>
      <w:proofErr w:type="spellEnd"/>
      <w:r w:rsidRPr="00BC6D6A">
        <w:rPr>
          <w:rFonts w:cs="Times New Roman"/>
          <w:sz w:val="22"/>
          <w:szCs w:val="22"/>
        </w:rPr>
        <w:t xml:space="preserve"> </w:t>
      </w:r>
      <w:proofErr w:type="spellStart"/>
      <w:r w:rsidRPr="00BC6D6A">
        <w:rPr>
          <w:rFonts w:cs="Times New Roman"/>
          <w:sz w:val="22"/>
          <w:szCs w:val="22"/>
        </w:rPr>
        <w:t>mencegah</w:t>
      </w:r>
      <w:proofErr w:type="spellEnd"/>
      <w:r w:rsidRPr="00BC6D6A">
        <w:rPr>
          <w:rFonts w:cs="Times New Roman"/>
          <w:sz w:val="22"/>
          <w:szCs w:val="22"/>
        </w:rPr>
        <w:t xml:space="preserve"> </w:t>
      </w:r>
      <w:proofErr w:type="spellStart"/>
      <w:r w:rsidRPr="00BC6D6A">
        <w:rPr>
          <w:rFonts w:cs="Times New Roman"/>
          <w:sz w:val="22"/>
          <w:szCs w:val="22"/>
        </w:rPr>
        <w:t>terjadinya</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setelah</w:t>
      </w:r>
      <w:proofErr w:type="spellEnd"/>
      <w:r w:rsidRPr="00BC6D6A">
        <w:rPr>
          <w:rFonts w:cs="Times New Roman"/>
          <w:sz w:val="22"/>
          <w:szCs w:val="22"/>
        </w:rPr>
        <w:t xml:space="preserve"> </w:t>
      </w:r>
      <w:proofErr w:type="spellStart"/>
      <w:r w:rsidRPr="00BC6D6A">
        <w:rPr>
          <w:rFonts w:cs="Times New Roman"/>
          <w:sz w:val="22"/>
          <w:szCs w:val="22"/>
        </w:rPr>
        <w:t>pembedahan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kondisi</w:t>
      </w:r>
      <w:proofErr w:type="spellEnd"/>
      <w:r w:rsidRPr="00BC6D6A">
        <w:rPr>
          <w:rFonts w:cs="Times New Roman"/>
          <w:sz w:val="22"/>
          <w:szCs w:val="22"/>
        </w:rPr>
        <w:t xml:space="preserve"> dan </w:t>
      </w:r>
      <w:proofErr w:type="spellStart"/>
      <w:r w:rsidRPr="00BC6D6A">
        <w:rPr>
          <w:rFonts w:cs="Times New Roman"/>
          <w:sz w:val="22"/>
          <w:szCs w:val="22"/>
        </w:rPr>
        <w:t>situasi</w:t>
      </w:r>
      <w:proofErr w:type="spellEnd"/>
      <w:r w:rsidRPr="00BC6D6A">
        <w:rPr>
          <w:rFonts w:cs="Times New Roman"/>
          <w:sz w:val="22"/>
          <w:szCs w:val="22"/>
        </w:rPr>
        <w:t xml:space="preserve"> yang </w:t>
      </w:r>
      <w:proofErr w:type="spellStart"/>
      <w:r w:rsidRPr="00BC6D6A">
        <w:rPr>
          <w:rFonts w:cs="Times New Roman"/>
          <w:sz w:val="22"/>
          <w:szCs w:val="22"/>
        </w:rPr>
        <w:t>kritis</w:t>
      </w:r>
      <w:proofErr w:type="spellEnd"/>
      <w:r w:rsidRPr="00BC6D6A">
        <w:rPr>
          <w:rFonts w:cs="Times New Roman"/>
          <w:sz w:val="22"/>
          <w:szCs w:val="22"/>
        </w:rPr>
        <w:t xml:space="preserve">. Di </w:t>
      </w:r>
      <w:proofErr w:type="spellStart"/>
      <w:r w:rsidRPr="00BC6D6A">
        <w:rPr>
          <w:rFonts w:cs="Times New Roman"/>
          <w:sz w:val="22"/>
          <w:szCs w:val="22"/>
        </w:rPr>
        <w:t>beberapa</w:t>
      </w:r>
      <w:proofErr w:type="spellEnd"/>
      <w:r w:rsidRPr="00BC6D6A">
        <w:rPr>
          <w:rFonts w:cs="Times New Roman"/>
          <w:sz w:val="22"/>
          <w:szCs w:val="22"/>
        </w:rPr>
        <w:t xml:space="preserve"> negara </w:t>
      </w:r>
      <w:proofErr w:type="spellStart"/>
      <w:r w:rsidRPr="00BC6D6A">
        <w:rPr>
          <w:rFonts w:cs="Times New Roman"/>
          <w:sz w:val="22"/>
          <w:szCs w:val="22"/>
        </w:rPr>
        <w:t>maju</w:t>
      </w:r>
      <w:proofErr w:type="spellEnd"/>
      <w:r w:rsidRPr="00BC6D6A">
        <w:rPr>
          <w:rFonts w:cs="Times New Roman"/>
          <w:sz w:val="22"/>
          <w:szCs w:val="22"/>
        </w:rPr>
        <w:t xml:space="preserve"> 30 </w:t>
      </w:r>
      <w:proofErr w:type="spellStart"/>
      <w:r w:rsidRPr="00BC6D6A">
        <w:rPr>
          <w:rFonts w:cs="Times New Roman"/>
          <w:sz w:val="22"/>
          <w:szCs w:val="22"/>
        </w:rPr>
        <w:t>sampai</w:t>
      </w:r>
      <w:proofErr w:type="spellEnd"/>
      <w:r w:rsidRPr="00BC6D6A">
        <w:rPr>
          <w:rFonts w:cs="Times New Roman"/>
          <w:sz w:val="22"/>
          <w:szCs w:val="22"/>
        </w:rPr>
        <w:t xml:space="preserve"> 50%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bertujuan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Namun</w:t>
      </w:r>
      <w:proofErr w:type="spellEnd"/>
      <w:r w:rsidRPr="00BC6D6A">
        <w:rPr>
          <w:rFonts w:cs="Times New Roman"/>
          <w:sz w:val="22"/>
          <w:szCs w:val="22"/>
        </w:rPr>
        <w:t xml:space="preserve"> </w:t>
      </w:r>
      <w:proofErr w:type="spellStart"/>
      <w:r w:rsidRPr="00BC6D6A">
        <w:rPr>
          <w:rFonts w:cs="Times New Roman"/>
          <w:sz w:val="22"/>
          <w:szCs w:val="22"/>
        </w:rPr>
        <w:t>sering</w:t>
      </w:r>
      <w:proofErr w:type="spellEnd"/>
      <w:r w:rsidRPr="00BC6D6A">
        <w:rPr>
          <w:rFonts w:cs="Times New Roman"/>
          <w:sz w:val="22"/>
          <w:szCs w:val="22"/>
        </w:rPr>
        <w:t xml:space="preserve"> kali </w:t>
      </w:r>
      <w:proofErr w:type="spellStart"/>
      <w:r w:rsidRPr="00BC6D6A">
        <w:rPr>
          <w:rFonts w:cs="Times New Roman"/>
          <w:sz w:val="22"/>
          <w:szCs w:val="22"/>
        </w:rPr>
        <w:t>dosis</w:t>
      </w:r>
      <w:proofErr w:type="spellEnd"/>
      <w:r w:rsidRPr="00BC6D6A">
        <w:rPr>
          <w:rFonts w:cs="Times New Roman"/>
          <w:sz w:val="22"/>
          <w:szCs w:val="22"/>
        </w:rPr>
        <w:t xml:space="preserve"> yang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berlebihan</w:t>
      </w:r>
      <w:proofErr w:type="spellEnd"/>
      <w:r w:rsidRPr="00BC6D6A">
        <w:rPr>
          <w:rFonts w:cs="Times New Roman"/>
          <w:sz w:val="22"/>
          <w:szCs w:val="22"/>
        </w:rPr>
        <w:t xml:space="preserve"> oleh </w:t>
      </w:r>
      <w:proofErr w:type="spellStart"/>
      <w:r w:rsidRPr="00BC6D6A">
        <w:rPr>
          <w:rFonts w:cs="Times New Roman"/>
          <w:sz w:val="22"/>
          <w:szCs w:val="22"/>
        </w:rPr>
        <w:t>karena</w:t>
      </w:r>
      <w:proofErr w:type="spellEnd"/>
      <w:r w:rsidRPr="00BC6D6A">
        <w:rPr>
          <w:rFonts w:cs="Times New Roman"/>
          <w:sz w:val="22"/>
          <w:szCs w:val="22"/>
        </w:rPr>
        <w:t xml:space="preserve"> </w:t>
      </w:r>
      <w:proofErr w:type="spellStart"/>
      <w:r w:rsidRPr="00BC6D6A">
        <w:rPr>
          <w:rFonts w:cs="Times New Roman"/>
          <w:sz w:val="22"/>
          <w:szCs w:val="22"/>
        </w:rPr>
        <w:t>itu</w:t>
      </w:r>
      <w:proofErr w:type="spellEnd"/>
      <w:r w:rsidRPr="00BC6D6A">
        <w:rPr>
          <w:rFonts w:cs="Times New Roman"/>
          <w:sz w:val="22"/>
          <w:szCs w:val="22"/>
        </w:rPr>
        <w:t xml:space="preserve"> </w:t>
      </w:r>
      <w:proofErr w:type="spellStart"/>
      <w:r w:rsidRPr="00BC6D6A">
        <w:rPr>
          <w:rFonts w:cs="Times New Roman"/>
          <w:sz w:val="22"/>
          <w:szCs w:val="22"/>
        </w:rPr>
        <w:t>perlu</w:t>
      </w:r>
      <w:proofErr w:type="spellEnd"/>
      <w:r w:rsidRPr="00BC6D6A">
        <w:rPr>
          <w:rFonts w:cs="Times New Roman"/>
          <w:sz w:val="22"/>
          <w:szCs w:val="22"/>
        </w:rPr>
        <w:t xml:space="preserve"> </w:t>
      </w:r>
      <w:proofErr w:type="spellStart"/>
      <w:r w:rsidRPr="00BC6D6A">
        <w:rPr>
          <w:rFonts w:cs="Times New Roman"/>
          <w:sz w:val="22"/>
          <w:szCs w:val="22"/>
        </w:rPr>
        <w:t>adanya</w:t>
      </w:r>
      <w:proofErr w:type="spellEnd"/>
      <w:r w:rsidRPr="00BC6D6A">
        <w:rPr>
          <w:rFonts w:cs="Times New Roman"/>
          <w:sz w:val="22"/>
          <w:szCs w:val="22"/>
        </w:rPr>
        <w:t xml:space="preserve"> </w:t>
      </w:r>
      <w:proofErr w:type="spellStart"/>
      <w:r w:rsidRPr="00BC6D6A">
        <w:rPr>
          <w:rFonts w:cs="Times New Roman"/>
          <w:sz w:val="22"/>
          <w:szCs w:val="22"/>
        </w:rPr>
        <w:t>pemantauan</w:t>
      </w:r>
      <w:proofErr w:type="spellEnd"/>
      <w:r w:rsidRPr="00BC6D6A">
        <w:rPr>
          <w:rFonts w:cs="Times New Roman"/>
          <w:sz w:val="22"/>
          <w:szCs w:val="22"/>
        </w:rPr>
        <w:t xml:space="preserve"> dan </w:t>
      </w:r>
      <w:proofErr w:type="spellStart"/>
      <w:r w:rsidRPr="00BC6D6A">
        <w:rPr>
          <w:rFonts w:cs="Times New Roman"/>
          <w:sz w:val="22"/>
          <w:szCs w:val="22"/>
        </w:rPr>
        <w:t>pengawasan</w:t>
      </w:r>
      <w:proofErr w:type="spellEnd"/>
      <w:r w:rsidRPr="00BC6D6A">
        <w:rPr>
          <w:rFonts w:cs="Times New Roman"/>
          <w:sz w:val="22"/>
          <w:szCs w:val="22"/>
        </w:rPr>
        <w:t xml:space="preserve"> yang </w:t>
      </w:r>
      <w:proofErr w:type="spellStart"/>
      <w:r w:rsidRPr="00BC6D6A">
        <w:rPr>
          <w:rFonts w:cs="Times New Roman"/>
          <w:sz w:val="22"/>
          <w:szCs w:val="22"/>
        </w:rPr>
        <w:t>ketat</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mencegah</w:t>
      </w:r>
      <w:proofErr w:type="spellEnd"/>
      <w:r w:rsidRPr="00BC6D6A">
        <w:rPr>
          <w:rFonts w:cs="Times New Roman"/>
          <w:sz w:val="22"/>
          <w:szCs w:val="22"/>
        </w:rPr>
        <w:t xml:space="preserve"> </w:t>
      </w:r>
      <w:proofErr w:type="spellStart"/>
      <w:r w:rsidRPr="00BC6D6A">
        <w:rPr>
          <w:rFonts w:cs="Times New Roman"/>
          <w:sz w:val="22"/>
          <w:szCs w:val="22"/>
        </w:rPr>
        <w:t>resistensi</w:t>
      </w:r>
      <w:proofErr w:type="spellEnd"/>
      <w:r w:rsidRPr="00BC6D6A">
        <w:rPr>
          <w:rFonts w:cs="Times New Roman"/>
          <w:sz w:val="22"/>
          <w:szCs w:val="22"/>
        </w:rPr>
        <w:t xml:space="preserve"> dan </w:t>
      </w:r>
      <w:proofErr w:type="spellStart"/>
      <w:r w:rsidRPr="00BC6D6A">
        <w:rPr>
          <w:rFonts w:cs="Times New Roman"/>
          <w:sz w:val="22"/>
          <w:szCs w:val="22"/>
        </w:rPr>
        <w:t>efek</w:t>
      </w:r>
      <w:proofErr w:type="spellEnd"/>
      <w:r w:rsidRPr="00BC6D6A">
        <w:rPr>
          <w:rFonts w:cs="Times New Roman"/>
          <w:sz w:val="22"/>
          <w:szCs w:val="22"/>
        </w:rPr>
        <w:t xml:space="preserve"> </w:t>
      </w:r>
      <w:proofErr w:type="spellStart"/>
      <w:r w:rsidRPr="00BC6D6A">
        <w:rPr>
          <w:rFonts w:cs="Times New Roman"/>
          <w:sz w:val="22"/>
          <w:szCs w:val="22"/>
        </w:rPr>
        <w:t>samping</w:t>
      </w:r>
      <w:proofErr w:type="spellEnd"/>
      <w:r w:rsidRPr="00BC6D6A">
        <w:rPr>
          <w:rFonts w:cs="Times New Roman"/>
          <w:sz w:val="22"/>
          <w:szCs w:val="22"/>
        </w:rPr>
        <w:t xml:space="preserve"> yang </w:t>
      </w:r>
      <w:proofErr w:type="spellStart"/>
      <w:r w:rsidRPr="00BC6D6A">
        <w:rPr>
          <w:rFonts w:cs="Times New Roman"/>
          <w:sz w:val="22"/>
          <w:szCs w:val="22"/>
        </w:rPr>
        <w:t>merugikan</w:t>
      </w:r>
      <w:proofErr w:type="spellEnd"/>
      <w:r w:rsidRPr="00BC6D6A">
        <w:rPr>
          <w:rFonts w:cs="Times New Roman"/>
          <w:sz w:val="22"/>
          <w:szCs w:val="22"/>
        </w:rPr>
        <w:t xml:space="preserve"> (Radji, 2016).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yang </w:t>
      </w:r>
      <w:proofErr w:type="spellStart"/>
      <w:r w:rsidRPr="00BC6D6A">
        <w:rPr>
          <w:rFonts w:cs="Times New Roman"/>
          <w:sz w:val="22"/>
          <w:szCs w:val="22"/>
        </w:rPr>
        <w:t>banyak</w:t>
      </w:r>
      <w:proofErr w:type="spellEnd"/>
      <w:r w:rsidRPr="00BC6D6A">
        <w:rPr>
          <w:rFonts w:cs="Times New Roman"/>
          <w:sz w:val="22"/>
          <w:szCs w:val="22"/>
        </w:rPr>
        <w:t xml:space="preserve"> </w:t>
      </w:r>
      <w:proofErr w:type="spellStart"/>
      <w:r w:rsidRPr="00BC6D6A">
        <w:rPr>
          <w:rFonts w:cs="Times New Roman"/>
          <w:sz w:val="22"/>
          <w:szCs w:val="22"/>
        </w:rPr>
        <w:t>digunakan</w:t>
      </w:r>
      <w:proofErr w:type="spellEnd"/>
      <w:r w:rsidRPr="00BC6D6A">
        <w:rPr>
          <w:rFonts w:cs="Times New Roman"/>
          <w:sz w:val="22"/>
          <w:szCs w:val="22"/>
        </w:rPr>
        <w:t xml:space="preserve"> di </w:t>
      </w:r>
      <w:proofErr w:type="spellStart"/>
      <w:r w:rsidRPr="00BC6D6A">
        <w:rPr>
          <w:rFonts w:cs="Times New Roman"/>
          <w:sz w:val="22"/>
          <w:szCs w:val="22"/>
        </w:rPr>
        <w:t>rumah</w:t>
      </w:r>
      <w:proofErr w:type="spellEnd"/>
      <w:r w:rsidRPr="00BC6D6A">
        <w:rPr>
          <w:rFonts w:cs="Times New Roman"/>
          <w:sz w:val="22"/>
          <w:szCs w:val="22"/>
        </w:rPr>
        <w:t xml:space="preserve"> </w:t>
      </w:r>
      <w:proofErr w:type="spellStart"/>
      <w:r w:rsidRPr="00BC6D6A">
        <w:rPr>
          <w:rFonts w:cs="Times New Roman"/>
          <w:sz w:val="22"/>
          <w:szCs w:val="22"/>
        </w:rPr>
        <w:t>sakit</w:t>
      </w:r>
      <w:proofErr w:type="spellEnd"/>
      <w:r w:rsidRPr="00BC6D6A">
        <w:rPr>
          <w:rFonts w:cs="Times New Roman"/>
          <w:sz w:val="22"/>
          <w:szCs w:val="22"/>
        </w:rPr>
        <w:t xml:space="preserve"> Premier </w:t>
      </w:r>
      <w:proofErr w:type="spellStart"/>
      <w:r w:rsidRPr="00BC6D6A">
        <w:rPr>
          <w:rFonts w:cs="Times New Roman"/>
          <w:sz w:val="22"/>
          <w:szCs w:val="22"/>
        </w:rPr>
        <w:t>Bintaro</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w:t>
      </w:r>
      <w:proofErr w:type="spellStart"/>
      <w:r w:rsidRPr="00BC6D6A">
        <w:rPr>
          <w:rFonts w:cs="Times New Roman"/>
          <w:sz w:val="22"/>
          <w:szCs w:val="22"/>
        </w:rPr>
        <w:t>sefalosporin</w:t>
      </w:r>
      <w:proofErr w:type="spellEnd"/>
      <w:r w:rsidRPr="00BC6D6A">
        <w:rPr>
          <w:rFonts w:cs="Times New Roman"/>
          <w:sz w:val="22"/>
          <w:szCs w:val="22"/>
        </w:rPr>
        <w:t xml:space="preserve"> </w:t>
      </w:r>
      <w:proofErr w:type="spellStart"/>
      <w:r w:rsidRPr="00BC6D6A">
        <w:rPr>
          <w:rFonts w:cs="Times New Roman"/>
          <w:sz w:val="22"/>
          <w:szCs w:val="22"/>
        </w:rPr>
        <w:t>generasi</w:t>
      </w:r>
      <w:proofErr w:type="spellEnd"/>
      <w:r w:rsidRPr="00BC6D6A">
        <w:rPr>
          <w:rFonts w:cs="Times New Roman"/>
          <w:sz w:val="22"/>
          <w:szCs w:val="22"/>
        </w:rPr>
        <w:t xml:space="preserve"> III </w:t>
      </w:r>
      <w:proofErr w:type="spellStart"/>
      <w:r w:rsidRPr="00BC6D6A">
        <w:rPr>
          <w:rFonts w:cs="Times New Roman"/>
          <w:sz w:val="22"/>
          <w:szCs w:val="22"/>
        </w:rPr>
        <w:t>sebanya</w:t>
      </w:r>
      <w:proofErr w:type="spellEnd"/>
      <w:r w:rsidRPr="00BC6D6A">
        <w:rPr>
          <w:rFonts w:cs="Times New Roman"/>
          <w:sz w:val="22"/>
          <w:szCs w:val="22"/>
        </w:rPr>
        <w:t xml:space="preserve"> 66,2% </w:t>
      </w:r>
      <w:proofErr w:type="spellStart"/>
      <w:r w:rsidRPr="00BC6D6A">
        <w:rPr>
          <w:rFonts w:cs="Times New Roman"/>
          <w:sz w:val="22"/>
          <w:szCs w:val="22"/>
        </w:rPr>
        <w:t>dari</w:t>
      </w:r>
      <w:proofErr w:type="spellEnd"/>
      <w:r w:rsidRPr="00BC6D6A">
        <w:rPr>
          <w:rFonts w:cs="Times New Roman"/>
          <w:sz w:val="22"/>
          <w:szCs w:val="22"/>
        </w:rPr>
        <w:t xml:space="preserve"> 353 </w:t>
      </w:r>
      <w:proofErr w:type="spellStart"/>
      <w:r w:rsidRPr="00BC6D6A">
        <w:rPr>
          <w:rFonts w:cs="Times New Roman"/>
          <w:sz w:val="22"/>
          <w:szCs w:val="22"/>
        </w:rPr>
        <w:t>kasus</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yang </w:t>
      </w:r>
      <w:proofErr w:type="spellStart"/>
      <w:r w:rsidRPr="00BC6D6A">
        <w:rPr>
          <w:rFonts w:cs="Times New Roman"/>
          <w:sz w:val="22"/>
          <w:szCs w:val="22"/>
        </w:rPr>
        <w:t>terbukti</w:t>
      </w:r>
      <w:proofErr w:type="spellEnd"/>
      <w:r w:rsidRPr="00BC6D6A">
        <w:rPr>
          <w:rFonts w:cs="Times New Roman"/>
          <w:sz w:val="22"/>
          <w:szCs w:val="22"/>
        </w:rPr>
        <w:t xml:space="preserve"> </w:t>
      </w:r>
      <w:proofErr w:type="spellStart"/>
      <w:r w:rsidRPr="00BC6D6A">
        <w:rPr>
          <w:rFonts w:cs="Times New Roman"/>
          <w:sz w:val="22"/>
          <w:szCs w:val="22"/>
        </w:rPr>
        <w:t>antara</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dan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terdapat</w:t>
      </w:r>
      <w:proofErr w:type="spellEnd"/>
      <w:r w:rsidRPr="00BC6D6A">
        <w:rPr>
          <w:rFonts w:cs="Times New Roman"/>
          <w:sz w:val="22"/>
          <w:szCs w:val="22"/>
        </w:rPr>
        <w:t xml:space="preserve"> </w:t>
      </w:r>
      <w:proofErr w:type="spellStart"/>
      <w:r w:rsidRPr="00BC6D6A">
        <w:rPr>
          <w:rFonts w:cs="Times New Roman"/>
          <w:sz w:val="22"/>
          <w:szCs w:val="22"/>
        </w:rPr>
        <w:t>hubungan</w:t>
      </w:r>
      <w:proofErr w:type="spellEnd"/>
      <w:r w:rsidRPr="00BC6D6A">
        <w:rPr>
          <w:rFonts w:cs="Times New Roman"/>
          <w:sz w:val="22"/>
          <w:szCs w:val="22"/>
        </w:rPr>
        <w:t xml:space="preserve"> </w:t>
      </w:r>
      <w:proofErr w:type="spellStart"/>
      <w:r w:rsidRPr="00BC6D6A">
        <w:rPr>
          <w:rFonts w:cs="Times New Roman"/>
          <w:sz w:val="22"/>
          <w:szCs w:val="22"/>
        </w:rPr>
        <w:t>bermakna</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angka</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ILO </w:t>
      </w:r>
      <w:proofErr w:type="spellStart"/>
      <w:r w:rsidRPr="00BC6D6A">
        <w:rPr>
          <w:rFonts w:cs="Times New Roman"/>
          <w:sz w:val="22"/>
          <w:szCs w:val="22"/>
        </w:rPr>
        <w:t>yaitu</w:t>
      </w:r>
      <w:proofErr w:type="spellEnd"/>
      <w:r w:rsidRPr="00BC6D6A">
        <w:rPr>
          <w:rFonts w:cs="Times New Roman"/>
          <w:sz w:val="22"/>
          <w:szCs w:val="22"/>
        </w:rPr>
        <w:t xml:space="preserve"> (p&lt;0,05) yang </w:t>
      </w:r>
      <w:proofErr w:type="spellStart"/>
      <w:r w:rsidRPr="00BC6D6A">
        <w:rPr>
          <w:rFonts w:cs="Times New Roman"/>
          <w:sz w:val="22"/>
          <w:szCs w:val="22"/>
        </w:rPr>
        <w:t>artinya</w:t>
      </w:r>
      <w:proofErr w:type="spellEnd"/>
      <w:r w:rsidRPr="00BC6D6A">
        <w:rPr>
          <w:rFonts w:cs="Times New Roman"/>
          <w:sz w:val="22"/>
          <w:szCs w:val="22"/>
        </w:rPr>
        <w:t xml:space="preserve"> </w:t>
      </w:r>
      <w:proofErr w:type="spellStart"/>
      <w:r w:rsidRPr="00BC6D6A">
        <w:rPr>
          <w:rFonts w:cs="Times New Roman"/>
          <w:sz w:val="22"/>
          <w:szCs w:val="22"/>
        </w:rPr>
        <w:t>semakin</w:t>
      </w:r>
      <w:proofErr w:type="spellEnd"/>
      <w:r w:rsidRPr="00BC6D6A">
        <w:rPr>
          <w:rFonts w:cs="Times New Roman"/>
          <w:sz w:val="22"/>
          <w:szCs w:val="22"/>
        </w:rPr>
        <w:t xml:space="preserve"> lama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semakin</w:t>
      </w:r>
      <w:proofErr w:type="spellEnd"/>
      <w:r w:rsidRPr="00BC6D6A">
        <w:rPr>
          <w:rFonts w:cs="Times New Roman"/>
          <w:sz w:val="22"/>
          <w:szCs w:val="22"/>
        </w:rPr>
        <w:t xml:space="preserve"> </w:t>
      </w:r>
      <w:proofErr w:type="spellStart"/>
      <w:r w:rsidRPr="00BC6D6A">
        <w:rPr>
          <w:rFonts w:cs="Times New Roman"/>
          <w:sz w:val="22"/>
          <w:szCs w:val="22"/>
        </w:rPr>
        <w:t>tinggi</w:t>
      </w:r>
      <w:proofErr w:type="spellEnd"/>
      <w:r w:rsidRPr="00BC6D6A">
        <w:rPr>
          <w:rFonts w:cs="Times New Roman"/>
          <w:sz w:val="22"/>
          <w:szCs w:val="22"/>
        </w:rPr>
        <w:t xml:space="preserve"> </w:t>
      </w:r>
      <w:proofErr w:type="spellStart"/>
      <w:r w:rsidRPr="00BC6D6A">
        <w:rPr>
          <w:rFonts w:cs="Times New Roman"/>
          <w:sz w:val="22"/>
          <w:szCs w:val="22"/>
        </w:rPr>
        <w:t>risiko</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pada </w:t>
      </w:r>
      <w:proofErr w:type="spellStart"/>
      <w:r w:rsidRPr="00BC6D6A">
        <w:rPr>
          <w:rFonts w:cs="Times New Roman"/>
          <w:sz w:val="22"/>
          <w:szCs w:val="22"/>
        </w:rPr>
        <w:t>luka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Zunnita</w:t>
      </w:r>
      <w:proofErr w:type="spellEnd"/>
      <w:r w:rsidRPr="00BC6D6A">
        <w:rPr>
          <w:rFonts w:cs="Times New Roman"/>
          <w:sz w:val="22"/>
          <w:szCs w:val="22"/>
        </w:rPr>
        <w:t xml:space="preserve"> et al., 2019). </w:t>
      </w:r>
    </w:p>
    <w:p w14:paraId="0B8AF711" w14:textId="77777777"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Berdasarkan</w:t>
      </w:r>
      <w:proofErr w:type="spellEnd"/>
      <w:r w:rsidRPr="00BC6D6A">
        <w:rPr>
          <w:rFonts w:cs="Times New Roman"/>
          <w:sz w:val="22"/>
          <w:szCs w:val="22"/>
        </w:rPr>
        <w:t xml:space="preserve"> data di </w:t>
      </w:r>
      <w:proofErr w:type="spellStart"/>
      <w:r w:rsidRPr="00BC6D6A">
        <w:rPr>
          <w:rFonts w:cs="Times New Roman"/>
          <w:sz w:val="22"/>
          <w:szCs w:val="22"/>
        </w:rPr>
        <w:t>atas</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penting</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mengevaluasi</w:t>
      </w:r>
      <w:proofErr w:type="spellEnd"/>
      <w:r w:rsidRPr="00BC6D6A">
        <w:rPr>
          <w:rFonts w:cs="Times New Roman"/>
          <w:sz w:val="22"/>
          <w:szCs w:val="22"/>
        </w:rPr>
        <w:t xml:space="preserve"> dan </w:t>
      </w:r>
      <w:proofErr w:type="spellStart"/>
      <w:r w:rsidRPr="00BC6D6A">
        <w:rPr>
          <w:rFonts w:cs="Times New Roman"/>
          <w:sz w:val="22"/>
          <w:szCs w:val="22"/>
        </w:rPr>
        <w:t>mengetahui</w:t>
      </w:r>
      <w:proofErr w:type="spellEnd"/>
      <w:r w:rsidRPr="00BC6D6A">
        <w:rPr>
          <w:rFonts w:cs="Times New Roman"/>
          <w:sz w:val="22"/>
          <w:szCs w:val="22"/>
        </w:rPr>
        <w:t xml:space="preserve"> </w:t>
      </w:r>
      <w:proofErr w:type="spellStart"/>
      <w:r w:rsidRPr="00BC6D6A">
        <w:rPr>
          <w:rFonts w:cs="Times New Roman"/>
          <w:sz w:val="22"/>
          <w:szCs w:val="22"/>
        </w:rPr>
        <w:t>gambaran</w:t>
      </w:r>
      <w:proofErr w:type="spellEnd"/>
      <w:r w:rsidRPr="00BC6D6A">
        <w:rPr>
          <w:rFonts w:cs="Times New Roman"/>
          <w:sz w:val="22"/>
          <w:szCs w:val="22"/>
        </w:rPr>
        <w:t xml:space="preserve"> </w:t>
      </w:r>
      <w:proofErr w:type="spellStart"/>
      <w:r w:rsidRPr="00BC6D6A">
        <w:rPr>
          <w:rFonts w:cs="Times New Roman"/>
          <w:sz w:val="22"/>
          <w:szCs w:val="22"/>
        </w:rPr>
        <w:t>pola</w:t>
      </w:r>
      <w:proofErr w:type="spellEnd"/>
      <w:r w:rsidRPr="00BC6D6A">
        <w:rPr>
          <w:rFonts w:cs="Times New Roman"/>
          <w:sz w:val="22"/>
          <w:szCs w:val="22"/>
        </w:rPr>
        <w:t xml:space="preserve"> dan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termasuk</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dan lama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saluran</w:t>
      </w:r>
      <w:proofErr w:type="spellEnd"/>
      <w:r w:rsidRPr="00BC6D6A">
        <w:rPr>
          <w:rFonts w:cs="Times New Roman"/>
          <w:sz w:val="22"/>
          <w:szCs w:val="22"/>
        </w:rPr>
        <w:t xml:space="preserve"> </w:t>
      </w:r>
      <w:proofErr w:type="spellStart"/>
      <w:r w:rsidRPr="00BC6D6A">
        <w:rPr>
          <w:rFonts w:cs="Times New Roman"/>
          <w:sz w:val="22"/>
          <w:szCs w:val="22"/>
        </w:rPr>
        <w:t>cerna</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Rumah Sakit X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Tahun</w:t>
      </w:r>
      <w:proofErr w:type="spellEnd"/>
      <w:r w:rsidRPr="00BC6D6A">
        <w:rPr>
          <w:rFonts w:cs="Times New Roman"/>
          <w:sz w:val="22"/>
          <w:szCs w:val="22"/>
        </w:rPr>
        <w:t xml:space="preserve"> 2023. </w:t>
      </w:r>
    </w:p>
    <w:p w14:paraId="5F09D128" w14:textId="77777777" w:rsidR="00B46EE3" w:rsidRPr="00BC6D6A" w:rsidRDefault="00000000">
      <w:pPr>
        <w:spacing w:before="240" w:line="288" w:lineRule="auto"/>
        <w:ind w:right="48"/>
        <w:rPr>
          <w:rFonts w:cs="Times New Roman"/>
          <w:b/>
          <w:sz w:val="22"/>
          <w:szCs w:val="22"/>
        </w:rPr>
      </w:pPr>
      <w:r w:rsidRPr="00BC6D6A">
        <w:rPr>
          <w:rFonts w:cs="Times New Roman"/>
          <w:b/>
          <w:sz w:val="22"/>
          <w:szCs w:val="22"/>
        </w:rPr>
        <w:t>METODE PENELITIAN</w:t>
      </w:r>
    </w:p>
    <w:p w14:paraId="16A9E511" w14:textId="77777777" w:rsidR="00B46EE3" w:rsidRPr="00BC6D6A" w:rsidRDefault="00000000">
      <w:pPr>
        <w:spacing w:line="360" w:lineRule="auto"/>
        <w:jc w:val="both"/>
        <w:rPr>
          <w:rFonts w:cs="Times New Roman"/>
          <w:b/>
          <w:sz w:val="22"/>
          <w:szCs w:val="22"/>
        </w:rPr>
      </w:pPr>
      <w:proofErr w:type="spellStart"/>
      <w:r w:rsidRPr="00BC6D6A">
        <w:rPr>
          <w:rFonts w:cs="Times New Roman"/>
          <w:b/>
          <w:sz w:val="22"/>
          <w:szCs w:val="22"/>
        </w:rPr>
        <w:t>Rancangan</w:t>
      </w:r>
      <w:proofErr w:type="spellEnd"/>
      <w:r w:rsidRPr="00BC6D6A">
        <w:rPr>
          <w:rFonts w:cs="Times New Roman"/>
          <w:b/>
          <w:sz w:val="22"/>
          <w:szCs w:val="22"/>
        </w:rPr>
        <w:t xml:space="preserve"> </w:t>
      </w:r>
      <w:proofErr w:type="spellStart"/>
      <w:r w:rsidRPr="00BC6D6A">
        <w:rPr>
          <w:rFonts w:cs="Times New Roman"/>
          <w:b/>
          <w:sz w:val="22"/>
          <w:szCs w:val="22"/>
        </w:rPr>
        <w:t>Penelitian</w:t>
      </w:r>
      <w:proofErr w:type="spellEnd"/>
      <w:r w:rsidRPr="00BC6D6A">
        <w:rPr>
          <w:rFonts w:cs="Times New Roman"/>
          <w:b/>
          <w:sz w:val="22"/>
          <w:szCs w:val="22"/>
        </w:rPr>
        <w:t xml:space="preserve"> </w:t>
      </w:r>
    </w:p>
    <w:p w14:paraId="0EC5887B" w14:textId="77777777" w:rsidR="00B46EE3" w:rsidRPr="00BC6D6A" w:rsidRDefault="00000000">
      <w:pPr>
        <w:spacing w:line="360" w:lineRule="auto"/>
        <w:ind w:firstLine="426"/>
        <w:jc w:val="both"/>
        <w:rPr>
          <w:rFonts w:cs="Times New Roman"/>
          <w:sz w:val="22"/>
          <w:szCs w:val="22"/>
        </w:rPr>
      </w:pP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bersifat</w:t>
      </w:r>
      <w:proofErr w:type="spellEnd"/>
      <w:r w:rsidRPr="00BC6D6A">
        <w:rPr>
          <w:rFonts w:cs="Times New Roman"/>
          <w:sz w:val="22"/>
          <w:szCs w:val="22"/>
        </w:rPr>
        <w:t xml:space="preserve"> </w:t>
      </w:r>
      <w:proofErr w:type="spellStart"/>
      <w:r w:rsidRPr="00BC6D6A">
        <w:rPr>
          <w:rFonts w:cs="Times New Roman"/>
          <w:sz w:val="22"/>
          <w:szCs w:val="22"/>
        </w:rPr>
        <w:t>observasional</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i/>
          <w:sz w:val="22"/>
          <w:szCs w:val="22"/>
        </w:rPr>
        <w:t>studi</w:t>
      </w:r>
      <w:proofErr w:type="spellEnd"/>
      <w:r w:rsidRPr="00BC6D6A">
        <w:rPr>
          <w:rFonts w:cs="Times New Roman"/>
          <w:i/>
          <w:sz w:val="22"/>
          <w:szCs w:val="22"/>
        </w:rPr>
        <w:t xml:space="preserve"> cross sectional</w:t>
      </w:r>
      <w:r w:rsidRPr="00BC6D6A">
        <w:rPr>
          <w:rFonts w:cs="Times New Roman"/>
          <w:sz w:val="22"/>
          <w:szCs w:val="22"/>
        </w:rPr>
        <w:t xml:space="preserve"> dan </w:t>
      </w:r>
      <w:proofErr w:type="spellStart"/>
      <w:r w:rsidRPr="00BC6D6A">
        <w:rPr>
          <w:rFonts w:cs="Times New Roman"/>
          <w:sz w:val="22"/>
          <w:szCs w:val="22"/>
        </w:rPr>
        <w:t>metode</w:t>
      </w:r>
      <w:proofErr w:type="spellEnd"/>
      <w:r w:rsidRPr="00BC6D6A">
        <w:rPr>
          <w:rFonts w:cs="Times New Roman"/>
          <w:sz w:val="22"/>
          <w:szCs w:val="22"/>
        </w:rPr>
        <w:t xml:space="preserve"> </w:t>
      </w:r>
      <w:proofErr w:type="spellStart"/>
      <w:r w:rsidRPr="00BC6D6A">
        <w:rPr>
          <w:rFonts w:cs="Times New Roman"/>
          <w:sz w:val="22"/>
          <w:szCs w:val="22"/>
        </w:rPr>
        <w:t>pengambilan</w:t>
      </w:r>
      <w:proofErr w:type="spellEnd"/>
      <w:r w:rsidRPr="00BC6D6A">
        <w:rPr>
          <w:rFonts w:cs="Times New Roman"/>
          <w:sz w:val="22"/>
          <w:szCs w:val="22"/>
        </w:rPr>
        <w:t xml:space="preserve"> data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retrospektif</w:t>
      </w:r>
      <w:proofErr w:type="spellEnd"/>
      <w:r w:rsidRPr="00BC6D6A">
        <w:rPr>
          <w:rFonts w:cs="Times New Roman"/>
          <w:sz w:val="22"/>
          <w:szCs w:val="22"/>
        </w:rPr>
        <w:t xml:space="preserve"> </w:t>
      </w:r>
      <w:proofErr w:type="spellStart"/>
      <w:r w:rsidRPr="00BC6D6A">
        <w:rPr>
          <w:rFonts w:cs="Times New Roman"/>
          <w:sz w:val="22"/>
          <w:szCs w:val="22"/>
        </w:rPr>
        <w:t>menggunakan</w:t>
      </w:r>
      <w:proofErr w:type="spellEnd"/>
      <w:r w:rsidRPr="00BC6D6A">
        <w:rPr>
          <w:rFonts w:cs="Times New Roman"/>
          <w:sz w:val="22"/>
          <w:szCs w:val="22"/>
        </w:rPr>
        <w:t xml:space="preserve"> data </w:t>
      </w:r>
      <w:proofErr w:type="spellStart"/>
      <w:r w:rsidRPr="00BC6D6A">
        <w:rPr>
          <w:rFonts w:cs="Times New Roman"/>
          <w:sz w:val="22"/>
          <w:szCs w:val="22"/>
        </w:rPr>
        <w:t>rekam</w:t>
      </w:r>
      <w:proofErr w:type="spellEnd"/>
      <w:r w:rsidRPr="00BC6D6A">
        <w:rPr>
          <w:rFonts w:cs="Times New Roman"/>
          <w:sz w:val="22"/>
          <w:szCs w:val="22"/>
        </w:rPr>
        <w:t xml:space="preserve"> </w:t>
      </w:r>
      <w:proofErr w:type="spellStart"/>
      <w:r w:rsidRPr="00BC6D6A">
        <w:rPr>
          <w:rFonts w:cs="Times New Roman"/>
          <w:sz w:val="22"/>
          <w:szCs w:val="22"/>
        </w:rPr>
        <w:t>medis</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menjalani</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Rumah Sakit X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tahun</w:t>
      </w:r>
      <w:proofErr w:type="spellEnd"/>
      <w:r w:rsidRPr="00BC6D6A">
        <w:rPr>
          <w:rFonts w:cs="Times New Roman"/>
          <w:sz w:val="22"/>
          <w:szCs w:val="22"/>
        </w:rPr>
        <w:t xml:space="preserve"> 2023 yang </w:t>
      </w:r>
      <w:proofErr w:type="spellStart"/>
      <w:r w:rsidRPr="00BC6D6A">
        <w:rPr>
          <w:rFonts w:cs="Times New Roman"/>
          <w:sz w:val="22"/>
          <w:szCs w:val="22"/>
        </w:rPr>
        <w:t>memnuhi</w:t>
      </w:r>
      <w:proofErr w:type="spellEnd"/>
      <w:r w:rsidRPr="00BC6D6A">
        <w:rPr>
          <w:rFonts w:cs="Times New Roman"/>
          <w:sz w:val="22"/>
          <w:szCs w:val="22"/>
        </w:rPr>
        <w:t xml:space="preserve"> </w:t>
      </w:r>
      <w:proofErr w:type="spellStart"/>
      <w:r w:rsidRPr="00BC6D6A">
        <w:rPr>
          <w:rFonts w:cs="Times New Roman"/>
          <w:sz w:val="22"/>
          <w:szCs w:val="22"/>
        </w:rPr>
        <w:t>kriteria</w:t>
      </w:r>
      <w:proofErr w:type="spellEnd"/>
      <w:r w:rsidRPr="00BC6D6A">
        <w:rPr>
          <w:rFonts w:cs="Times New Roman"/>
          <w:sz w:val="22"/>
          <w:szCs w:val="22"/>
        </w:rPr>
        <w:t xml:space="preserve"> </w:t>
      </w:r>
      <w:proofErr w:type="spellStart"/>
      <w:r w:rsidRPr="00BC6D6A">
        <w:rPr>
          <w:rFonts w:cs="Times New Roman"/>
          <w:sz w:val="22"/>
          <w:szCs w:val="22"/>
        </w:rPr>
        <w:t>inklusi</w:t>
      </w:r>
      <w:proofErr w:type="spellEnd"/>
      <w:r w:rsidRPr="00BC6D6A">
        <w:rPr>
          <w:rFonts w:cs="Times New Roman"/>
          <w:sz w:val="22"/>
          <w:szCs w:val="22"/>
        </w:rPr>
        <w:t>.</w:t>
      </w:r>
    </w:p>
    <w:p w14:paraId="33952F39" w14:textId="77777777" w:rsidR="00BC6D6A" w:rsidRPr="00BC6D6A" w:rsidRDefault="00BC6D6A">
      <w:pPr>
        <w:spacing w:line="360" w:lineRule="auto"/>
        <w:ind w:firstLine="426"/>
        <w:jc w:val="both"/>
        <w:rPr>
          <w:rFonts w:cs="Times New Roman"/>
          <w:sz w:val="22"/>
          <w:szCs w:val="22"/>
        </w:rPr>
      </w:pPr>
    </w:p>
    <w:p w14:paraId="522CB7B2" w14:textId="77777777" w:rsidR="00BC6D6A" w:rsidRPr="00BC6D6A" w:rsidRDefault="00BC6D6A">
      <w:pPr>
        <w:spacing w:line="360" w:lineRule="auto"/>
        <w:ind w:firstLine="426"/>
        <w:jc w:val="both"/>
        <w:rPr>
          <w:rFonts w:cs="Times New Roman"/>
          <w:sz w:val="22"/>
          <w:szCs w:val="22"/>
        </w:rPr>
      </w:pPr>
    </w:p>
    <w:p w14:paraId="4B119F37" w14:textId="77777777" w:rsidR="00B46EE3" w:rsidRPr="00BC6D6A" w:rsidRDefault="00000000">
      <w:pPr>
        <w:spacing w:line="360" w:lineRule="auto"/>
        <w:jc w:val="both"/>
        <w:rPr>
          <w:rFonts w:cs="Times New Roman"/>
          <w:b/>
          <w:sz w:val="22"/>
          <w:szCs w:val="22"/>
        </w:rPr>
      </w:pPr>
      <w:proofErr w:type="spellStart"/>
      <w:r w:rsidRPr="00BC6D6A">
        <w:rPr>
          <w:rFonts w:cs="Times New Roman"/>
          <w:b/>
          <w:sz w:val="22"/>
          <w:szCs w:val="22"/>
        </w:rPr>
        <w:t>Kriteria</w:t>
      </w:r>
      <w:proofErr w:type="spellEnd"/>
      <w:r w:rsidRPr="00BC6D6A">
        <w:rPr>
          <w:rFonts w:cs="Times New Roman"/>
          <w:b/>
          <w:sz w:val="22"/>
          <w:szCs w:val="22"/>
        </w:rPr>
        <w:t xml:space="preserve"> </w:t>
      </w:r>
      <w:proofErr w:type="spellStart"/>
      <w:r w:rsidRPr="00BC6D6A">
        <w:rPr>
          <w:rFonts w:cs="Times New Roman"/>
          <w:b/>
          <w:sz w:val="22"/>
          <w:szCs w:val="22"/>
        </w:rPr>
        <w:t>Inklusi</w:t>
      </w:r>
      <w:proofErr w:type="spellEnd"/>
      <w:r w:rsidRPr="00BC6D6A">
        <w:rPr>
          <w:rFonts w:cs="Times New Roman"/>
          <w:b/>
          <w:sz w:val="22"/>
          <w:szCs w:val="22"/>
        </w:rPr>
        <w:t xml:space="preserve"> </w:t>
      </w:r>
    </w:p>
    <w:p w14:paraId="7E15D439" w14:textId="77777777" w:rsidR="00B46EE3" w:rsidRPr="00BC6D6A" w:rsidRDefault="00000000">
      <w:pPr>
        <w:spacing w:line="360" w:lineRule="auto"/>
        <w:ind w:firstLine="426"/>
        <w:jc w:val="both"/>
        <w:rPr>
          <w:rFonts w:cs="Times New Roman"/>
          <w:sz w:val="22"/>
          <w:szCs w:val="22"/>
        </w:rPr>
      </w:pPr>
      <w:r w:rsidRPr="00BC6D6A">
        <w:rPr>
          <w:rFonts w:cs="Times New Roman"/>
          <w:sz w:val="22"/>
          <w:szCs w:val="22"/>
        </w:rPr>
        <w:lastRenderedPageBreak/>
        <w:t xml:space="preserve">Pasien yang </w:t>
      </w:r>
      <w:proofErr w:type="spellStart"/>
      <w:r w:rsidRPr="00BC6D6A">
        <w:rPr>
          <w:rFonts w:cs="Times New Roman"/>
          <w:sz w:val="22"/>
          <w:szCs w:val="22"/>
        </w:rPr>
        <w:t>menjalani</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peresepan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di Rumah Sakit X </w:t>
      </w:r>
      <w:proofErr w:type="spellStart"/>
      <w:r w:rsidRPr="00BC6D6A">
        <w:rPr>
          <w:rFonts w:cs="Times New Roman"/>
          <w:sz w:val="22"/>
          <w:szCs w:val="22"/>
        </w:rPr>
        <w:t>Tasikmalaya</w:t>
      </w:r>
      <w:proofErr w:type="spellEnd"/>
      <w:r w:rsidRPr="00BC6D6A">
        <w:rPr>
          <w:rFonts w:cs="Times New Roman"/>
          <w:sz w:val="22"/>
          <w:szCs w:val="22"/>
        </w:rPr>
        <w:t xml:space="preserve"> dan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mempunyai</w:t>
      </w:r>
      <w:proofErr w:type="spellEnd"/>
      <w:r w:rsidRPr="00BC6D6A">
        <w:rPr>
          <w:rFonts w:cs="Times New Roman"/>
          <w:sz w:val="22"/>
          <w:szCs w:val="22"/>
        </w:rPr>
        <w:t xml:space="preserve"> </w:t>
      </w:r>
      <w:proofErr w:type="spellStart"/>
      <w:r w:rsidRPr="00BC6D6A">
        <w:rPr>
          <w:rFonts w:cs="Times New Roman"/>
          <w:sz w:val="22"/>
          <w:szCs w:val="22"/>
        </w:rPr>
        <w:t>penyakit</w:t>
      </w:r>
      <w:proofErr w:type="spellEnd"/>
      <w:r w:rsidRPr="00BC6D6A">
        <w:rPr>
          <w:rFonts w:cs="Times New Roman"/>
          <w:sz w:val="22"/>
          <w:szCs w:val="22"/>
        </w:rPr>
        <w:t xml:space="preserve"> </w:t>
      </w:r>
      <w:proofErr w:type="spellStart"/>
      <w:r w:rsidRPr="00BC6D6A">
        <w:rPr>
          <w:rFonts w:cs="Times New Roman"/>
          <w:sz w:val="22"/>
          <w:szCs w:val="22"/>
        </w:rPr>
        <w:t>penyerta</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lain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memiliki</w:t>
      </w:r>
      <w:proofErr w:type="spellEnd"/>
      <w:r w:rsidRPr="00BC6D6A">
        <w:rPr>
          <w:rFonts w:cs="Times New Roman"/>
          <w:sz w:val="22"/>
          <w:szCs w:val="22"/>
        </w:rPr>
        <w:t xml:space="preserve"> data </w:t>
      </w:r>
      <w:proofErr w:type="spellStart"/>
      <w:r w:rsidRPr="00BC6D6A">
        <w:rPr>
          <w:rFonts w:cs="Times New Roman"/>
          <w:sz w:val="22"/>
          <w:szCs w:val="22"/>
        </w:rPr>
        <w:t>rekam</w:t>
      </w:r>
      <w:proofErr w:type="spellEnd"/>
      <w:r w:rsidRPr="00BC6D6A">
        <w:rPr>
          <w:rFonts w:cs="Times New Roman"/>
          <w:sz w:val="22"/>
          <w:szCs w:val="22"/>
        </w:rPr>
        <w:t xml:space="preserve"> </w:t>
      </w:r>
      <w:proofErr w:type="spellStart"/>
      <w:r w:rsidRPr="00BC6D6A">
        <w:rPr>
          <w:rFonts w:cs="Times New Roman"/>
          <w:sz w:val="22"/>
          <w:szCs w:val="22"/>
        </w:rPr>
        <w:t>medis</w:t>
      </w:r>
      <w:proofErr w:type="spellEnd"/>
      <w:r w:rsidRPr="00BC6D6A">
        <w:rPr>
          <w:rFonts w:cs="Times New Roman"/>
          <w:sz w:val="22"/>
          <w:szCs w:val="22"/>
        </w:rPr>
        <w:t xml:space="preserve"> yang </w:t>
      </w:r>
      <w:proofErr w:type="spellStart"/>
      <w:r w:rsidRPr="00BC6D6A">
        <w:rPr>
          <w:rFonts w:cs="Times New Roman"/>
          <w:sz w:val="22"/>
          <w:szCs w:val="22"/>
        </w:rPr>
        <w:t>lengkap</w:t>
      </w:r>
      <w:proofErr w:type="spellEnd"/>
      <w:r w:rsidRPr="00BC6D6A">
        <w:rPr>
          <w:rFonts w:cs="Times New Roman"/>
          <w:sz w:val="22"/>
          <w:szCs w:val="22"/>
        </w:rPr>
        <w:t>.</w:t>
      </w:r>
    </w:p>
    <w:p w14:paraId="267B8758" w14:textId="77777777" w:rsidR="00B46EE3" w:rsidRPr="00BC6D6A" w:rsidRDefault="00000000">
      <w:pPr>
        <w:spacing w:line="360" w:lineRule="auto"/>
        <w:jc w:val="both"/>
        <w:rPr>
          <w:rFonts w:cs="Times New Roman"/>
          <w:b/>
          <w:sz w:val="22"/>
          <w:szCs w:val="22"/>
        </w:rPr>
      </w:pPr>
      <w:proofErr w:type="spellStart"/>
      <w:r w:rsidRPr="00BC6D6A">
        <w:rPr>
          <w:rFonts w:cs="Times New Roman"/>
          <w:b/>
          <w:sz w:val="22"/>
          <w:szCs w:val="22"/>
        </w:rPr>
        <w:t>Instrumen</w:t>
      </w:r>
      <w:proofErr w:type="spellEnd"/>
      <w:r w:rsidRPr="00BC6D6A">
        <w:rPr>
          <w:rFonts w:cs="Times New Roman"/>
          <w:b/>
          <w:sz w:val="22"/>
          <w:szCs w:val="22"/>
        </w:rPr>
        <w:t xml:space="preserve"> </w:t>
      </w:r>
      <w:proofErr w:type="spellStart"/>
      <w:r w:rsidRPr="00BC6D6A">
        <w:rPr>
          <w:rFonts w:cs="Times New Roman"/>
          <w:b/>
          <w:sz w:val="22"/>
          <w:szCs w:val="22"/>
        </w:rPr>
        <w:t>Penelitian</w:t>
      </w:r>
      <w:proofErr w:type="spellEnd"/>
    </w:p>
    <w:p w14:paraId="6C03FF87" w14:textId="720BD49B" w:rsidR="00B46EE3" w:rsidRPr="00BC6D6A" w:rsidRDefault="00000000">
      <w:pPr>
        <w:spacing w:line="360" w:lineRule="auto"/>
        <w:ind w:firstLine="426"/>
        <w:jc w:val="both"/>
        <w:rPr>
          <w:rFonts w:cs="Times New Roman"/>
          <w:sz w:val="22"/>
          <w:szCs w:val="22"/>
        </w:rPr>
      </w:pPr>
      <w:proofErr w:type="spellStart"/>
      <w:r w:rsidRPr="00BC6D6A">
        <w:rPr>
          <w:rFonts w:cs="Times New Roman"/>
          <w:sz w:val="22"/>
          <w:szCs w:val="22"/>
        </w:rPr>
        <w:t>Instrumen</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pada </w:t>
      </w:r>
      <w:proofErr w:type="spellStart"/>
      <w:r w:rsidRPr="00BC6D6A">
        <w:rPr>
          <w:rFonts w:cs="Times New Roman"/>
          <w:sz w:val="22"/>
          <w:szCs w:val="22"/>
        </w:rPr>
        <w:t>peneitian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berupa</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r w:rsidRPr="00BC6D6A">
        <w:rPr>
          <w:rFonts w:cs="Times New Roman"/>
          <w:i/>
          <w:sz w:val="22"/>
          <w:szCs w:val="22"/>
        </w:rPr>
        <w:t>Infectious Disease Society of America</w:t>
      </w:r>
      <w:r w:rsidRPr="00BC6D6A">
        <w:rPr>
          <w:rFonts w:cs="Times New Roman"/>
          <w:sz w:val="22"/>
          <w:szCs w:val="22"/>
        </w:rPr>
        <w:t xml:space="preserve"> (IDSA) </w:t>
      </w:r>
      <w:r w:rsidRPr="00BC6D6A">
        <w:rPr>
          <w:rFonts w:cs="Times New Roman"/>
          <w:i/>
          <w:sz w:val="22"/>
          <w:szCs w:val="22"/>
        </w:rPr>
        <w:t xml:space="preserve">Guidelines, ASHP Therapeutic </w:t>
      </w:r>
      <w:proofErr w:type="gramStart"/>
      <w:r w:rsidRPr="00BC6D6A">
        <w:rPr>
          <w:rFonts w:cs="Times New Roman"/>
          <w:i/>
          <w:sz w:val="22"/>
          <w:szCs w:val="22"/>
        </w:rPr>
        <w:t>Guidelines</w:t>
      </w:r>
      <w:r w:rsidR="00BC6D6A">
        <w:rPr>
          <w:rFonts w:cs="Times New Roman"/>
          <w:i/>
          <w:sz w:val="22"/>
          <w:szCs w:val="22"/>
        </w:rPr>
        <w:t xml:space="preserve"> </w:t>
      </w:r>
      <w:r w:rsidRPr="00BC6D6A">
        <w:rPr>
          <w:rFonts w:cs="Times New Roman"/>
          <w:i/>
          <w:sz w:val="22"/>
          <w:szCs w:val="22"/>
        </w:rPr>
        <w:t>:</w:t>
      </w:r>
      <w:proofErr w:type="gramEnd"/>
      <w:r w:rsidRPr="00BC6D6A">
        <w:rPr>
          <w:rFonts w:cs="Times New Roman"/>
          <w:i/>
          <w:sz w:val="22"/>
          <w:szCs w:val="22"/>
        </w:rPr>
        <w:t xml:space="preserve"> Clinical Practise Guidelines for Antimicrobial Prophylaxis </w:t>
      </w:r>
      <w:proofErr w:type="spellStart"/>
      <w:r w:rsidRPr="00BC6D6A">
        <w:rPr>
          <w:rFonts w:cs="Times New Roman"/>
          <w:i/>
          <w:sz w:val="22"/>
          <w:szCs w:val="22"/>
        </w:rPr>
        <w:t>ini</w:t>
      </w:r>
      <w:proofErr w:type="spellEnd"/>
      <w:r w:rsidRPr="00BC6D6A">
        <w:rPr>
          <w:rFonts w:cs="Times New Roman"/>
          <w:i/>
          <w:sz w:val="22"/>
          <w:szCs w:val="22"/>
        </w:rPr>
        <w:t xml:space="preserve"> Surgery, </w:t>
      </w:r>
      <w:r w:rsidRPr="00BC6D6A">
        <w:rPr>
          <w:rFonts w:cs="Times New Roman"/>
          <w:sz w:val="22"/>
          <w:szCs w:val="22"/>
        </w:rPr>
        <w:t xml:space="preserve">dan </w:t>
      </w:r>
      <w:proofErr w:type="spellStart"/>
      <w:r w:rsidRPr="00BC6D6A">
        <w:rPr>
          <w:rFonts w:cs="Times New Roman"/>
          <w:sz w:val="22"/>
          <w:szCs w:val="22"/>
        </w:rPr>
        <w:t>Permenkes</w:t>
      </w:r>
      <w:proofErr w:type="spellEnd"/>
      <w:r w:rsidRPr="00BC6D6A">
        <w:rPr>
          <w:rFonts w:cs="Times New Roman"/>
          <w:sz w:val="22"/>
          <w:szCs w:val="22"/>
        </w:rPr>
        <w:t xml:space="preserve"> No. 28 </w:t>
      </w:r>
      <w:proofErr w:type="spellStart"/>
      <w:r w:rsidRPr="00BC6D6A">
        <w:rPr>
          <w:rFonts w:cs="Times New Roman"/>
          <w:sz w:val="22"/>
          <w:szCs w:val="22"/>
        </w:rPr>
        <w:t>Tahun</w:t>
      </w:r>
      <w:proofErr w:type="spellEnd"/>
      <w:r w:rsidRPr="00BC6D6A">
        <w:rPr>
          <w:rFonts w:cs="Times New Roman"/>
          <w:sz w:val="22"/>
          <w:szCs w:val="22"/>
        </w:rPr>
        <w:t xml:space="preserve"> 2021 </w:t>
      </w:r>
      <w:proofErr w:type="spellStart"/>
      <w:r w:rsidRPr="00BC6D6A">
        <w:rPr>
          <w:rFonts w:cs="Times New Roman"/>
          <w:sz w:val="22"/>
          <w:szCs w:val="22"/>
        </w:rPr>
        <w:t>tentang</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dan Etika </w:t>
      </w:r>
      <w:proofErr w:type="spellStart"/>
      <w:r w:rsidRPr="00BC6D6A">
        <w:rPr>
          <w:rFonts w:cs="Times New Roman"/>
          <w:sz w:val="22"/>
          <w:szCs w:val="22"/>
        </w:rPr>
        <w:t>Clirens</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KEPK Universitas Bakti Tunas </w:t>
      </w:r>
      <w:proofErr w:type="spellStart"/>
      <w:r w:rsidRPr="00BC6D6A">
        <w:rPr>
          <w:rFonts w:cs="Times New Roman"/>
          <w:sz w:val="22"/>
          <w:szCs w:val="22"/>
        </w:rPr>
        <w:t>Husada</w:t>
      </w:r>
      <w:proofErr w:type="spellEnd"/>
      <w:r w:rsidRPr="00BC6D6A">
        <w:rPr>
          <w:rFonts w:cs="Times New Roman"/>
          <w:sz w:val="22"/>
          <w:szCs w:val="22"/>
        </w:rPr>
        <w:t xml:space="preserve">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No. 083-01/E.01/KEPK-BTH/V/2024.</w:t>
      </w:r>
    </w:p>
    <w:p w14:paraId="706EBF99" w14:textId="77777777" w:rsidR="00B46EE3" w:rsidRPr="00BC6D6A" w:rsidRDefault="00000000">
      <w:pPr>
        <w:spacing w:line="360" w:lineRule="auto"/>
        <w:jc w:val="both"/>
        <w:rPr>
          <w:rFonts w:cs="Times New Roman"/>
          <w:b/>
          <w:sz w:val="22"/>
          <w:szCs w:val="22"/>
        </w:rPr>
      </w:pPr>
      <w:proofErr w:type="spellStart"/>
      <w:r w:rsidRPr="00BC6D6A">
        <w:rPr>
          <w:rFonts w:cs="Times New Roman"/>
          <w:b/>
          <w:sz w:val="22"/>
          <w:szCs w:val="22"/>
        </w:rPr>
        <w:t>Analisis</w:t>
      </w:r>
      <w:proofErr w:type="spellEnd"/>
      <w:r w:rsidRPr="00BC6D6A">
        <w:rPr>
          <w:rFonts w:cs="Times New Roman"/>
          <w:b/>
          <w:sz w:val="22"/>
          <w:szCs w:val="22"/>
        </w:rPr>
        <w:t xml:space="preserve"> Data</w:t>
      </w:r>
    </w:p>
    <w:p w14:paraId="63B93D9A" w14:textId="77777777" w:rsidR="00B46EE3" w:rsidRPr="00BC6D6A" w:rsidRDefault="00000000">
      <w:pPr>
        <w:spacing w:line="360" w:lineRule="auto"/>
        <w:ind w:firstLine="426"/>
        <w:jc w:val="both"/>
        <w:rPr>
          <w:rFonts w:cs="Times New Roman"/>
          <w:color w:val="231F20"/>
          <w:sz w:val="22"/>
          <w:szCs w:val="22"/>
        </w:rPr>
      </w:pPr>
      <w:proofErr w:type="spellStart"/>
      <w:r w:rsidRPr="00BC6D6A">
        <w:rPr>
          <w:rFonts w:cs="Times New Roman"/>
          <w:sz w:val="22"/>
          <w:szCs w:val="22"/>
        </w:rPr>
        <w:t>Analisis</w:t>
      </w:r>
      <w:proofErr w:type="spellEnd"/>
      <w:r w:rsidRPr="00BC6D6A">
        <w:rPr>
          <w:rFonts w:cs="Times New Roman"/>
          <w:sz w:val="22"/>
          <w:szCs w:val="22"/>
        </w:rPr>
        <w:t xml:space="preserve"> data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dua </w:t>
      </w:r>
      <w:proofErr w:type="spellStart"/>
      <w:r w:rsidRPr="00BC6D6A">
        <w:rPr>
          <w:rFonts w:cs="Times New Roman"/>
          <w:sz w:val="22"/>
          <w:szCs w:val="22"/>
        </w:rPr>
        <w:t>metode</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w:t>
      </w:r>
      <w:proofErr w:type="spellStart"/>
      <w:r w:rsidRPr="00BC6D6A">
        <w:rPr>
          <w:rFonts w:cs="Times New Roman"/>
          <w:sz w:val="22"/>
          <w:szCs w:val="22"/>
        </w:rPr>
        <w:t>analisis</w:t>
      </w:r>
      <w:proofErr w:type="spellEnd"/>
      <w:r w:rsidRPr="00BC6D6A">
        <w:rPr>
          <w:rFonts w:cs="Times New Roman"/>
          <w:sz w:val="22"/>
          <w:szCs w:val="22"/>
        </w:rPr>
        <w:t xml:space="preserve"> </w:t>
      </w:r>
      <w:proofErr w:type="spellStart"/>
      <w:r w:rsidRPr="00BC6D6A">
        <w:rPr>
          <w:rFonts w:cs="Times New Roman"/>
          <w:sz w:val="22"/>
          <w:szCs w:val="22"/>
        </w:rPr>
        <w:t>profil</w:t>
      </w:r>
      <w:proofErr w:type="spellEnd"/>
      <w:r w:rsidRPr="00BC6D6A">
        <w:rPr>
          <w:rFonts w:cs="Times New Roman"/>
          <w:sz w:val="22"/>
          <w:szCs w:val="22"/>
        </w:rPr>
        <w:t xml:space="preserve"> dan </w:t>
      </w:r>
      <w:proofErr w:type="spellStart"/>
      <w:r w:rsidRPr="00BC6D6A">
        <w:rPr>
          <w:rFonts w:cs="Times New Roman"/>
          <w:sz w:val="22"/>
          <w:szCs w:val="22"/>
        </w:rPr>
        <w:t>analisis</w:t>
      </w:r>
      <w:proofErr w:type="spellEnd"/>
      <w:r w:rsidRPr="00BC6D6A">
        <w:rPr>
          <w:rFonts w:cs="Times New Roman"/>
          <w:sz w:val="22"/>
          <w:szCs w:val="22"/>
        </w:rPr>
        <w:t xml:space="preserve">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menggunakan</w:t>
      </w:r>
      <w:proofErr w:type="spellEnd"/>
      <w:r w:rsidRPr="00BC6D6A">
        <w:rPr>
          <w:rFonts w:cs="Times New Roman"/>
          <w:sz w:val="22"/>
          <w:szCs w:val="22"/>
        </w:rPr>
        <w:t xml:space="preserve"> </w:t>
      </w:r>
      <w:proofErr w:type="spellStart"/>
      <w:r w:rsidRPr="00BC6D6A">
        <w:rPr>
          <w:rFonts w:cs="Times New Roman"/>
          <w:sz w:val="22"/>
          <w:szCs w:val="22"/>
        </w:rPr>
        <w:t>metode</w:t>
      </w:r>
      <w:proofErr w:type="spellEnd"/>
      <w:r w:rsidRPr="00BC6D6A">
        <w:rPr>
          <w:rFonts w:cs="Times New Roman"/>
          <w:sz w:val="22"/>
          <w:szCs w:val="22"/>
        </w:rPr>
        <w:t xml:space="preserve"> </w:t>
      </w:r>
      <w:proofErr w:type="spellStart"/>
      <w:proofErr w:type="gramStart"/>
      <w:r w:rsidRPr="00BC6D6A">
        <w:rPr>
          <w:rFonts w:cs="Times New Roman"/>
          <w:i/>
          <w:sz w:val="22"/>
          <w:szCs w:val="22"/>
        </w:rPr>
        <w:t>Gyssens</w:t>
      </w:r>
      <w:proofErr w:type="spellEnd"/>
      <w:r w:rsidRPr="00BC6D6A">
        <w:rPr>
          <w:rFonts w:cs="Times New Roman"/>
          <w:i/>
          <w:sz w:val="22"/>
          <w:szCs w:val="22"/>
        </w:rPr>
        <w:t>.</w:t>
      </w:r>
      <w:r w:rsidRPr="00BC6D6A">
        <w:rPr>
          <w:rFonts w:cs="Times New Roman"/>
          <w:sz w:val="22"/>
          <w:szCs w:val="22"/>
        </w:rPr>
        <w:t>(</w:t>
      </w:r>
      <w:proofErr w:type="spellStart"/>
      <w:proofErr w:type="gramEnd"/>
      <w:r w:rsidRPr="00BC6D6A">
        <w:rPr>
          <w:rFonts w:cs="Times New Roman"/>
          <w:sz w:val="22"/>
          <w:szCs w:val="22"/>
        </w:rPr>
        <w:t>Gyssens</w:t>
      </w:r>
      <w:proofErr w:type="spellEnd"/>
      <w:r w:rsidRPr="00BC6D6A">
        <w:rPr>
          <w:rFonts w:cs="Times New Roman"/>
          <w:sz w:val="22"/>
          <w:szCs w:val="22"/>
        </w:rPr>
        <w:t>, 2005)</w:t>
      </w:r>
      <w:r w:rsidRPr="00BC6D6A">
        <w:rPr>
          <w:rFonts w:cs="Times New Roman"/>
          <w:i/>
          <w:sz w:val="22"/>
          <w:szCs w:val="22"/>
        </w:rPr>
        <w:t xml:space="preserve">. </w:t>
      </w:r>
      <w:proofErr w:type="spellStart"/>
      <w:r w:rsidRPr="00BC6D6A">
        <w:rPr>
          <w:rFonts w:cs="Times New Roman"/>
          <w:color w:val="231F20"/>
          <w:sz w:val="22"/>
          <w:szCs w:val="22"/>
        </w:rPr>
        <w:t>Setiap</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yang </w:t>
      </w:r>
      <w:proofErr w:type="spellStart"/>
      <w:r w:rsidRPr="00BC6D6A">
        <w:rPr>
          <w:rFonts w:cs="Times New Roman"/>
          <w:color w:val="231F20"/>
          <w:sz w:val="22"/>
          <w:szCs w:val="22"/>
        </w:rPr>
        <w:t>diresepkan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akan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dinilai</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mengikuti</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sebuah</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alur</w:t>
      </w:r>
      <w:proofErr w:type="spellEnd"/>
      <w:r w:rsidRPr="00BC6D6A">
        <w:rPr>
          <w:rFonts w:cs="Times New Roman"/>
          <w:color w:val="231F20"/>
          <w:sz w:val="22"/>
          <w:szCs w:val="22"/>
        </w:rPr>
        <w:t xml:space="preserve"> yang </w:t>
      </w:r>
      <w:proofErr w:type="spellStart"/>
      <w:r w:rsidRPr="00BC6D6A">
        <w:rPr>
          <w:rFonts w:cs="Times New Roman"/>
          <w:color w:val="231F20"/>
          <w:sz w:val="22"/>
          <w:szCs w:val="22"/>
        </w:rPr>
        <w:t>kemudian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diklasifikasikan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ke</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dalam</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yang </w:t>
      </w:r>
      <w:proofErr w:type="spellStart"/>
      <w:r w:rsidRPr="00BC6D6A">
        <w:rPr>
          <w:rFonts w:cs="Times New Roman"/>
          <w:color w:val="231F20"/>
          <w:sz w:val="22"/>
          <w:szCs w:val="22"/>
        </w:rPr>
        <w:t>meliputi</w:t>
      </w:r>
      <w:proofErr w:type="spellEnd"/>
      <w:r w:rsidRPr="00BC6D6A">
        <w:rPr>
          <w:rFonts w:cs="Times New Roman"/>
          <w:color w:val="231F20"/>
          <w:sz w:val="22"/>
          <w:szCs w:val="22"/>
        </w:rPr>
        <w:t>:</w:t>
      </w:r>
      <w:r w:rsidRPr="00BC6D6A">
        <w:rPr>
          <w:rFonts w:cs="Times New Roman"/>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0 (</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tepat</w:t>
      </w:r>
      <w:proofErr w:type="spellEnd"/>
      <w:r w:rsidRPr="00BC6D6A">
        <w:rPr>
          <w:rFonts w:cs="Times New Roman"/>
          <w:color w:val="231F20"/>
          <w:sz w:val="22"/>
          <w:szCs w:val="22"/>
        </w:rPr>
        <w:t>/</w:t>
      </w:r>
      <w:proofErr w:type="spellStart"/>
      <w:r w:rsidRPr="00BC6D6A">
        <w:rPr>
          <w:rFonts w:cs="Times New Roman"/>
          <w:color w:val="231F20"/>
          <w:sz w:val="22"/>
          <w:szCs w:val="22"/>
        </w:rPr>
        <w:t>bijak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w:t>
      </w:r>
      <w:r w:rsidRPr="00BC6D6A">
        <w:rPr>
          <w:rFonts w:cs="Times New Roman"/>
          <w:sz w:val="22"/>
          <w:szCs w:val="22"/>
        </w:rPr>
        <w:t xml:space="preserve"> </w:t>
      </w:r>
      <w:r w:rsidRPr="00BC6D6A">
        <w:rPr>
          <w:rFonts w:cs="Times New Roman"/>
          <w:color w:val="231F20"/>
          <w:sz w:val="22"/>
          <w:szCs w:val="22"/>
        </w:rPr>
        <w:t>(</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tepat</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waktu</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IIA</w:t>
      </w:r>
      <w:r w:rsidRPr="00BC6D6A">
        <w:rPr>
          <w:rFonts w:cs="Times New Roman"/>
          <w:sz w:val="22"/>
          <w:szCs w:val="22"/>
        </w:rPr>
        <w:t xml:space="preserve"> </w:t>
      </w:r>
      <w:r w:rsidRPr="00BC6D6A">
        <w:rPr>
          <w:rFonts w:cs="Times New Roman"/>
          <w:color w:val="231F20"/>
          <w:sz w:val="22"/>
          <w:szCs w:val="22"/>
        </w:rPr>
        <w:t>(</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tepat</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dosis</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IIB</w:t>
      </w:r>
      <w:r w:rsidRPr="00BC6D6A">
        <w:rPr>
          <w:rFonts w:cs="Times New Roman"/>
          <w:sz w:val="22"/>
          <w:szCs w:val="22"/>
        </w:rPr>
        <w:t xml:space="preserve"> </w:t>
      </w:r>
      <w:r w:rsidRPr="00BC6D6A">
        <w:rPr>
          <w:rFonts w:cs="Times New Roman"/>
          <w:color w:val="231F20"/>
          <w:sz w:val="22"/>
          <w:szCs w:val="22"/>
        </w:rPr>
        <w:t>(</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tepat</w:t>
      </w:r>
      <w:proofErr w:type="spellEnd"/>
      <w:r w:rsidRPr="00BC6D6A">
        <w:rPr>
          <w:rFonts w:cs="Times New Roman"/>
          <w:color w:val="231F20"/>
          <w:sz w:val="22"/>
          <w:szCs w:val="22"/>
        </w:rPr>
        <w:t xml:space="preserve"> interval </w:t>
      </w:r>
      <w:proofErr w:type="spellStart"/>
      <w:r w:rsidRPr="00BC6D6A">
        <w:rPr>
          <w:rFonts w:cs="Times New Roman"/>
          <w:color w:val="231F20"/>
          <w:sz w:val="22"/>
          <w:szCs w:val="22"/>
        </w:rPr>
        <w:t>pemberian</w:t>
      </w:r>
      <w:proofErr w:type="spellEnd"/>
      <w:r w:rsidRPr="00BC6D6A">
        <w:rPr>
          <w:rFonts w:cs="Times New Roman"/>
          <w:color w:val="231F20"/>
          <w:sz w:val="22"/>
          <w:szCs w:val="22"/>
        </w:rPr>
        <w:t>),</w:t>
      </w:r>
      <w:r w:rsidRPr="00BC6D6A">
        <w:rPr>
          <w:rFonts w:cs="Times New Roman"/>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IIC (</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tepat</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cara</w:t>
      </w:r>
      <w:proofErr w:type="spellEnd"/>
      <w:r w:rsidRPr="00BC6D6A">
        <w:rPr>
          <w:rFonts w:cs="Times New Roman"/>
          <w:color w:val="231F20"/>
          <w:sz w:val="22"/>
          <w:szCs w:val="22"/>
        </w:rPr>
        <w:t>/</w:t>
      </w:r>
      <w:proofErr w:type="spellStart"/>
      <w:r w:rsidRPr="00BC6D6A">
        <w:rPr>
          <w:rFonts w:cs="Times New Roman"/>
          <w:color w:val="231F20"/>
          <w:sz w:val="22"/>
          <w:szCs w:val="22"/>
        </w:rPr>
        <w:t>rute</w:t>
      </w:r>
      <w:proofErr w:type="spellEnd"/>
      <w:r w:rsidRPr="00BC6D6A">
        <w:rPr>
          <w:rFonts w:cs="Times New Roman"/>
          <w:sz w:val="22"/>
          <w:szCs w:val="22"/>
        </w:rPr>
        <w:t xml:space="preserve"> </w:t>
      </w:r>
      <w:proofErr w:type="spellStart"/>
      <w:r w:rsidRPr="00BC6D6A">
        <w:rPr>
          <w:rFonts w:cs="Times New Roman"/>
          <w:color w:val="231F20"/>
          <w:sz w:val="22"/>
          <w:szCs w:val="22"/>
        </w:rPr>
        <w:t>pemberian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IIIA (</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terlalu</w:t>
      </w:r>
      <w:proofErr w:type="spellEnd"/>
      <w:r w:rsidRPr="00BC6D6A">
        <w:rPr>
          <w:rFonts w:cs="Times New Roman"/>
          <w:sz w:val="22"/>
          <w:szCs w:val="22"/>
        </w:rPr>
        <w:t xml:space="preserve"> </w:t>
      </w:r>
      <w:r w:rsidRPr="00BC6D6A">
        <w:rPr>
          <w:rFonts w:cs="Times New Roman"/>
          <w:color w:val="231F20"/>
          <w:sz w:val="22"/>
          <w:szCs w:val="22"/>
        </w:rPr>
        <w:t xml:space="preserve">lama),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IIIB (</w:t>
      </w:r>
      <w:proofErr w:type="spellStart"/>
      <w:r w:rsidRPr="00BC6D6A">
        <w:rPr>
          <w:rFonts w:cs="Times New Roman"/>
          <w:color w:val="231F20"/>
          <w:sz w:val="22"/>
          <w:szCs w:val="22"/>
        </w:rPr>
        <w:t>penggunaan</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terlalu</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singkat</w:t>
      </w:r>
      <w:proofErr w:type="spellEnd"/>
      <w:r w:rsidRPr="00BC6D6A">
        <w:rPr>
          <w:rFonts w:cs="Times New Roman"/>
          <w:color w:val="231F20"/>
          <w:sz w:val="22"/>
          <w:szCs w:val="22"/>
        </w:rPr>
        <w:t>),</w:t>
      </w:r>
      <w:r w:rsidRPr="00BC6D6A">
        <w:rPr>
          <w:rFonts w:cs="Times New Roman"/>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IVA (</w:t>
      </w:r>
      <w:proofErr w:type="spellStart"/>
      <w:r w:rsidRPr="00BC6D6A">
        <w:rPr>
          <w:rFonts w:cs="Times New Roman"/>
          <w:color w:val="231F20"/>
          <w:sz w:val="22"/>
          <w:szCs w:val="22"/>
        </w:rPr>
        <w:t>ada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lain yang </w:t>
      </w:r>
      <w:proofErr w:type="spellStart"/>
      <w:r w:rsidRPr="00BC6D6A">
        <w:rPr>
          <w:rFonts w:cs="Times New Roman"/>
          <w:color w:val="231F20"/>
          <w:sz w:val="22"/>
          <w:szCs w:val="22"/>
        </w:rPr>
        <w:t>lebih</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efektif</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sz w:val="22"/>
          <w:szCs w:val="22"/>
        </w:rPr>
        <w:t xml:space="preserve"> </w:t>
      </w:r>
      <w:r w:rsidRPr="00BC6D6A">
        <w:rPr>
          <w:rFonts w:cs="Times New Roman"/>
          <w:color w:val="231F20"/>
          <w:sz w:val="22"/>
          <w:szCs w:val="22"/>
        </w:rPr>
        <w:t>IVB (</w:t>
      </w:r>
      <w:proofErr w:type="spellStart"/>
      <w:r w:rsidRPr="00BC6D6A">
        <w:rPr>
          <w:rFonts w:cs="Times New Roman"/>
          <w:color w:val="231F20"/>
          <w:sz w:val="22"/>
          <w:szCs w:val="22"/>
        </w:rPr>
        <w:t>ada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lain yang </w:t>
      </w:r>
      <w:proofErr w:type="spellStart"/>
      <w:r w:rsidRPr="00BC6D6A">
        <w:rPr>
          <w:rFonts w:cs="Times New Roman"/>
          <w:color w:val="231F20"/>
          <w:sz w:val="22"/>
          <w:szCs w:val="22"/>
        </w:rPr>
        <w:t>kurang</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toksik</w:t>
      </w:r>
      <w:proofErr w:type="spellEnd"/>
      <w:r w:rsidRPr="00BC6D6A">
        <w:rPr>
          <w:rFonts w:cs="Times New Roman"/>
          <w:color w:val="231F20"/>
          <w:sz w:val="22"/>
          <w:szCs w:val="22"/>
        </w:rPr>
        <w:t>/</w:t>
      </w:r>
      <w:proofErr w:type="spellStart"/>
      <w:r w:rsidRPr="00BC6D6A">
        <w:rPr>
          <w:rFonts w:cs="Times New Roman"/>
          <w:color w:val="231F20"/>
          <w:sz w:val="22"/>
          <w:szCs w:val="22"/>
        </w:rPr>
        <w:t>lebih</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aman</w:t>
      </w:r>
      <w:proofErr w:type="spellEnd"/>
      <w:r w:rsidRPr="00BC6D6A">
        <w:rPr>
          <w:rFonts w:cs="Times New Roman"/>
          <w:color w:val="231F20"/>
          <w:sz w:val="22"/>
          <w:szCs w:val="22"/>
        </w:rPr>
        <w:t>),</w:t>
      </w:r>
      <w:r w:rsidRPr="00BC6D6A">
        <w:rPr>
          <w:rFonts w:cs="Times New Roman"/>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IVC (</w:t>
      </w:r>
      <w:proofErr w:type="spellStart"/>
      <w:r w:rsidRPr="00BC6D6A">
        <w:rPr>
          <w:rFonts w:cs="Times New Roman"/>
          <w:color w:val="231F20"/>
          <w:sz w:val="22"/>
          <w:szCs w:val="22"/>
        </w:rPr>
        <w:t>ada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lain yang </w:t>
      </w:r>
      <w:proofErr w:type="spellStart"/>
      <w:r w:rsidRPr="00BC6D6A">
        <w:rPr>
          <w:rFonts w:cs="Times New Roman"/>
          <w:color w:val="231F20"/>
          <w:sz w:val="22"/>
          <w:szCs w:val="22"/>
        </w:rPr>
        <w:t>lebih</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murah</w:t>
      </w:r>
      <w:proofErr w:type="spellEnd"/>
      <w:r w:rsidRPr="00BC6D6A">
        <w:rPr>
          <w:rFonts w:cs="Times New Roman"/>
          <w:color w:val="231F20"/>
          <w:sz w:val="22"/>
          <w:szCs w:val="22"/>
        </w:rPr>
        <w:t>),</w:t>
      </w:r>
      <w:r w:rsidRPr="00BC6D6A">
        <w:rPr>
          <w:rFonts w:cs="Times New Roman"/>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IVD (</w:t>
      </w:r>
      <w:proofErr w:type="spellStart"/>
      <w:r w:rsidRPr="00BC6D6A">
        <w:rPr>
          <w:rFonts w:cs="Times New Roman"/>
          <w:color w:val="231F20"/>
          <w:sz w:val="22"/>
          <w:szCs w:val="22"/>
        </w:rPr>
        <w:t>ada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lain yang </w:t>
      </w:r>
      <w:proofErr w:type="spellStart"/>
      <w:r w:rsidRPr="00BC6D6A">
        <w:rPr>
          <w:rFonts w:cs="Times New Roman"/>
          <w:color w:val="231F20"/>
          <w:sz w:val="22"/>
          <w:szCs w:val="22"/>
        </w:rPr>
        <w:t>spektrumnya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lebih</w:t>
      </w:r>
      <w:proofErr w:type="spellEnd"/>
      <w:r w:rsidRPr="00BC6D6A">
        <w:rPr>
          <w:rFonts w:cs="Times New Roman"/>
          <w:sz w:val="22"/>
          <w:szCs w:val="22"/>
        </w:rPr>
        <w:t xml:space="preserve"> </w:t>
      </w:r>
      <w:proofErr w:type="spellStart"/>
      <w:r w:rsidRPr="00BC6D6A">
        <w:rPr>
          <w:rFonts w:cs="Times New Roman"/>
          <w:color w:val="231F20"/>
          <w:sz w:val="22"/>
          <w:szCs w:val="22"/>
        </w:rPr>
        <w:t>sempit</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V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ada</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indikasi</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penggunaan</w:t>
      </w:r>
      <w:proofErr w:type="spellEnd"/>
      <w:r w:rsidRPr="00BC6D6A">
        <w:rPr>
          <w:rFonts w:cs="Times New Roman"/>
          <w:sz w:val="22"/>
          <w:szCs w:val="22"/>
        </w:rPr>
        <w:t xml:space="preserve"> </w:t>
      </w:r>
      <w:proofErr w:type="spellStart"/>
      <w:r w:rsidRPr="00BC6D6A">
        <w:rPr>
          <w:rFonts w:cs="Times New Roman"/>
          <w:color w:val="231F20"/>
          <w:sz w:val="22"/>
          <w:szCs w:val="22"/>
        </w:rPr>
        <w:t>antibiotik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kategori</w:t>
      </w:r>
      <w:proofErr w:type="spellEnd"/>
      <w:r w:rsidRPr="00BC6D6A">
        <w:rPr>
          <w:rFonts w:cs="Times New Roman"/>
          <w:color w:val="231F20"/>
          <w:sz w:val="22"/>
          <w:szCs w:val="22"/>
        </w:rPr>
        <w:t xml:space="preserve"> VI (data </w:t>
      </w:r>
      <w:proofErr w:type="spellStart"/>
      <w:r w:rsidRPr="00BC6D6A">
        <w:rPr>
          <w:rFonts w:cs="Times New Roman"/>
          <w:color w:val="231F20"/>
          <w:sz w:val="22"/>
          <w:szCs w:val="22"/>
        </w:rPr>
        <w:t>rekam</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medik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lengkap</w:t>
      </w:r>
      <w:proofErr w:type="spellEnd"/>
      <w:r w:rsidRPr="00BC6D6A">
        <w:rPr>
          <w:rFonts w:cs="Times New Roman"/>
          <w:sz w:val="22"/>
          <w:szCs w:val="22"/>
        </w:rPr>
        <w:t xml:space="preserve"> </w:t>
      </w:r>
      <w:r w:rsidRPr="00BC6D6A">
        <w:rPr>
          <w:rFonts w:cs="Times New Roman"/>
          <w:color w:val="231F20"/>
          <w:sz w:val="22"/>
          <w:szCs w:val="22"/>
        </w:rPr>
        <w:t xml:space="preserve">dan </w:t>
      </w:r>
      <w:proofErr w:type="spellStart"/>
      <w:r w:rsidRPr="00BC6D6A">
        <w:rPr>
          <w:rFonts w:cs="Times New Roman"/>
          <w:color w:val="231F20"/>
          <w:sz w:val="22"/>
          <w:szCs w:val="22"/>
        </w:rPr>
        <w:t>tidak</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dapat</w:t>
      </w:r>
      <w:proofErr w:type="spellEnd"/>
      <w:r w:rsidRPr="00BC6D6A">
        <w:rPr>
          <w:rFonts w:cs="Times New Roman"/>
          <w:color w:val="231F20"/>
          <w:sz w:val="22"/>
          <w:szCs w:val="22"/>
        </w:rPr>
        <w:t xml:space="preserve"> </w:t>
      </w:r>
      <w:proofErr w:type="spellStart"/>
      <w:r w:rsidRPr="00BC6D6A">
        <w:rPr>
          <w:rFonts w:cs="Times New Roman"/>
          <w:color w:val="231F20"/>
          <w:sz w:val="22"/>
          <w:szCs w:val="22"/>
        </w:rPr>
        <w:t>dievaluasi</w:t>
      </w:r>
      <w:proofErr w:type="spellEnd"/>
      <w:r w:rsidRPr="00BC6D6A">
        <w:rPr>
          <w:rFonts w:cs="Times New Roman"/>
          <w:color w:val="231F20"/>
          <w:sz w:val="22"/>
          <w:szCs w:val="22"/>
        </w:rPr>
        <w:t xml:space="preserve">). </w:t>
      </w:r>
    </w:p>
    <w:p w14:paraId="547D21DF" w14:textId="77777777" w:rsidR="00B46EE3" w:rsidRPr="00BC6D6A" w:rsidRDefault="00000000">
      <w:pPr>
        <w:spacing w:line="360" w:lineRule="auto"/>
        <w:ind w:firstLine="426"/>
        <w:jc w:val="both"/>
        <w:rPr>
          <w:rFonts w:cs="Times New Roman"/>
          <w:sz w:val="22"/>
          <w:szCs w:val="22"/>
        </w:rPr>
      </w:pPr>
      <w:proofErr w:type="spellStart"/>
      <w:r w:rsidRPr="00BC6D6A">
        <w:rPr>
          <w:rFonts w:cs="Times New Roman"/>
          <w:sz w:val="22"/>
          <w:szCs w:val="22"/>
        </w:rPr>
        <w:t>Analisis</w:t>
      </w:r>
      <w:proofErr w:type="spellEnd"/>
      <w:r w:rsidRPr="00BC6D6A">
        <w:rPr>
          <w:rFonts w:cs="Times New Roman"/>
          <w:sz w:val="22"/>
          <w:szCs w:val="22"/>
        </w:rPr>
        <w:t xml:space="preserve"> </w:t>
      </w:r>
      <w:proofErr w:type="spellStart"/>
      <w:r w:rsidRPr="00BC6D6A">
        <w:rPr>
          <w:rFonts w:cs="Times New Roman"/>
          <w:sz w:val="22"/>
          <w:szCs w:val="22"/>
        </w:rPr>
        <w:t>profil</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menghitung</w:t>
      </w:r>
      <w:proofErr w:type="spellEnd"/>
      <w:r w:rsidRPr="00BC6D6A">
        <w:rPr>
          <w:rFonts w:cs="Times New Roman"/>
          <w:sz w:val="22"/>
          <w:szCs w:val="22"/>
        </w:rPr>
        <w:t xml:space="preserve"> </w:t>
      </w:r>
      <w:proofErr w:type="spellStart"/>
      <w:r w:rsidRPr="00BC6D6A">
        <w:rPr>
          <w:rFonts w:cs="Times New Roman"/>
          <w:sz w:val="22"/>
          <w:szCs w:val="22"/>
        </w:rPr>
        <w:t>persentase</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w:t>
      </w:r>
      <w:proofErr w:type="spellStart"/>
      <w:r w:rsidRPr="00BC6D6A">
        <w:rPr>
          <w:rFonts w:cs="Times New Roman"/>
          <w:sz w:val="22"/>
          <w:szCs w:val="22"/>
        </w:rPr>
        <w:t>kasus</w:t>
      </w:r>
      <w:proofErr w:type="spellEnd"/>
      <w:r w:rsidRPr="00BC6D6A">
        <w:rPr>
          <w:rFonts w:cs="Times New Roman"/>
          <w:sz w:val="22"/>
          <w:szCs w:val="22"/>
        </w:rPr>
        <w:t xml:space="preserve"> pada </w:t>
      </w:r>
      <w:proofErr w:type="spellStart"/>
      <w:r w:rsidRPr="00BC6D6A">
        <w:rPr>
          <w:rFonts w:cs="Times New Roman"/>
          <w:sz w:val="22"/>
          <w:szCs w:val="22"/>
        </w:rPr>
        <w:t>setiap</w:t>
      </w:r>
      <w:proofErr w:type="spellEnd"/>
      <w:r w:rsidRPr="00BC6D6A">
        <w:rPr>
          <w:rFonts w:cs="Times New Roman"/>
          <w:sz w:val="22"/>
          <w:szCs w:val="22"/>
        </w:rPr>
        <w:t xml:space="preserve"> </w:t>
      </w:r>
      <w:proofErr w:type="spellStart"/>
      <w:r w:rsidRPr="00BC6D6A">
        <w:rPr>
          <w:rFonts w:cs="Times New Roman"/>
          <w:sz w:val="22"/>
          <w:szCs w:val="22"/>
        </w:rPr>
        <w:t>kelompok</w:t>
      </w:r>
      <w:proofErr w:type="spellEnd"/>
      <w:r w:rsidRPr="00BC6D6A">
        <w:rPr>
          <w:rFonts w:cs="Times New Roman"/>
          <w:sz w:val="22"/>
          <w:szCs w:val="22"/>
        </w:rPr>
        <w:t xml:space="preserve"> yang </w:t>
      </w:r>
      <w:proofErr w:type="spellStart"/>
      <w:r w:rsidRPr="00BC6D6A">
        <w:rPr>
          <w:rFonts w:cs="Times New Roman"/>
          <w:sz w:val="22"/>
          <w:szCs w:val="22"/>
        </w:rPr>
        <w:t>diperoleh</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membagi</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w:t>
      </w:r>
      <w:proofErr w:type="spellStart"/>
      <w:r w:rsidRPr="00BC6D6A">
        <w:rPr>
          <w:rFonts w:cs="Times New Roman"/>
          <w:sz w:val="22"/>
          <w:szCs w:val="22"/>
        </w:rPr>
        <w:t>kasus</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setiap</w:t>
      </w:r>
      <w:proofErr w:type="spellEnd"/>
      <w:r w:rsidRPr="00BC6D6A">
        <w:rPr>
          <w:rFonts w:cs="Times New Roman"/>
          <w:sz w:val="22"/>
          <w:szCs w:val="22"/>
        </w:rPr>
        <w:t xml:space="preserve">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w:t>
      </w:r>
      <w:proofErr w:type="spellStart"/>
      <w:r w:rsidRPr="00BC6D6A">
        <w:rPr>
          <w:rFonts w:cs="Times New Roman"/>
          <w:sz w:val="22"/>
          <w:szCs w:val="22"/>
        </w:rPr>
        <w:t>keseluruhan</w:t>
      </w:r>
      <w:proofErr w:type="spellEnd"/>
      <w:r w:rsidRPr="00BC6D6A">
        <w:rPr>
          <w:rFonts w:cs="Times New Roman"/>
          <w:sz w:val="22"/>
          <w:szCs w:val="22"/>
        </w:rPr>
        <w:t xml:space="preserve"> </w:t>
      </w:r>
      <w:proofErr w:type="spellStart"/>
      <w:r w:rsidRPr="00BC6D6A">
        <w:rPr>
          <w:rFonts w:cs="Times New Roman"/>
          <w:sz w:val="22"/>
          <w:szCs w:val="22"/>
        </w:rPr>
        <w:t>kasus</w:t>
      </w:r>
      <w:proofErr w:type="spellEnd"/>
      <w:r w:rsidRPr="00BC6D6A">
        <w:rPr>
          <w:rFonts w:cs="Times New Roman"/>
          <w:sz w:val="22"/>
          <w:szCs w:val="22"/>
        </w:rPr>
        <w:t xml:space="preserve">, </w:t>
      </w:r>
      <w:proofErr w:type="spellStart"/>
      <w:r w:rsidRPr="00BC6D6A">
        <w:rPr>
          <w:rFonts w:cs="Times New Roman"/>
          <w:sz w:val="22"/>
          <w:szCs w:val="22"/>
        </w:rPr>
        <w:t>lalu</w:t>
      </w:r>
      <w:proofErr w:type="spellEnd"/>
      <w:r w:rsidRPr="00BC6D6A">
        <w:rPr>
          <w:rFonts w:cs="Times New Roman"/>
          <w:sz w:val="22"/>
          <w:szCs w:val="22"/>
        </w:rPr>
        <w:t xml:space="preserve"> di kali 100%. </w:t>
      </w:r>
      <w:proofErr w:type="spellStart"/>
      <w:r w:rsidRPr="00BC6D6A">
        <w:rPr>
          <w:rFonts w:cs="Times New Roman"/>
          <w:sz w:val="22"/>
          <w:szCs w:val="22"/>
        </w:rPr>
        <w:t>Perhitungan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menggunakan</w:t>
      </w:r>
      <w:proofErr w:type="spellEnd"/>
      <w:r w:rsidRPr="00BC6D6A">
        <w:rPr>
          <w:rFonts w:cs="Times New Roman"/>
          <w:sz w:val="22"/>
          <w:szCs w:val="22"/>
        </w:rPr>
        <w:t xml:space="preserve"> </w:t>
      </w:r>
      <w:proofErr w:type="spellStart"/>
      <w:r w:rsidRPr="00BC6D6A">
        <w:rPr>
          <w:rFonts w:cs="Times New Roman"/>
          <w:sz w:val="22"/>
          <w:szCs w:val="22"/>
        </w:rPr>
        <w:t>aplikasi</w:t>
      </w:r>
      <w:proofErr w:type="spellEnd"/>
      <w:r w:rsidRPr="00BC6D6A">
        <w:rPr>
          <w:rFonts w:cs="Times New Roman"/>
          <w:sz w:val="22"/>
          <w:szCs w:val="22"/>
        </w:rPr>
        <w:t xml:space="preserve"> </w:t>
      </w:r>
      <w:r w:rsidRPr="00BC6D6A">
        <w:rPr>
          <w:rFonts w:cs="Times New Roman"/>
          <w:i/>
          <w:sz w:val="22"/>
          <w:szCs w:val="22"/>
        </w:rPr>
        <w:t xml:space="preserve">Microsoft Excel. </w:t>
      </w:r>
      <w:r w:rsidRPr="00BC6D6A">
        <w:rPr>
          <w:rFonts w:cs="Times New Roman"/>
          <w:sz w:val="22"/>
          <w:szCs w:val="22"/>
        </w:rPr>
        <w:t xml:space="preserve">Hasil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kedua</w:t>
      </w:r>
      <w:proofErr w:type="spellEnd"/>
      <w:r w:rsidRPr="00BC6D6A">
        <w:rPr>
          <w:rFonts w:cs="Times New Roman"/>
          <w:sz w:val="22"/>
          <w:szCs w:val="22"/>
        </w:rPr>
        <w:t xml:space="preserve"> </w:t>
      </w:r>
      <w:proofErr w:type="spellStart"/>
      <w:r w:rsidRPr="00BC6D6A">
        <w:rPr>
          <w:rFonts w:cs="Times New Roman"/>
          <w:sz w:val="22"/>
          <w:szCs w:val="22"/>
        </w:rPr>
        <w:t>penilaian</w:t>
      </w:r>
      <w:proofErr w:type="spellEnd"/>
      <w:r w:rsidRPr="00BC6D6A">
        <w:rPr>
          <w:rFonts w:cs="Times New Roman"/>
          <w:sz w:val="22"/>
          <w:szCs w:val="22"/>
        </w:rPr>
        <w:t xml:space="preserve"> </w:t>
      </w:r>
      <w:proofErr w:type="spellStart"/>
      <w:r w:rsidRPr="00BC6D6A">
        <w:rPr>
          <w:rFonts w:cs="Times New Roman"/>
          <w:sz w:val="22"/>
          <w:szCs w:val="22"/>
        </w:rPr>
        <w:t>ditampilkan</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bentuk</w:t>
      </w:r>
      <w:proofErr w:type="spellEnd"/>
      <w:r w:rsidRPr="00BC6D6A">
        <w:rPr>
          <w:rFonts w:cs="Times New Roman"/>
          <w:sz w:val="22"/>
          <w:szCs w:val="22"/>
        </w:rPr>
        <w:t xml:space="preserve"> </w:t>
      </w:r>
      <w:proofErr w:type="spellStart"/>
      <w:r w:rsidRPr="00BC6D6A">
        <w:rPr>
          <w:rFonts w:cs="Times New Roman"/>
          <w:sz w:val="22"/>
          <w:szCs w:val="22"/>
        </w:rPr>
        <w:t>tabel</w:t>
      </w:r>
      <w:proofErr w:type="spellEnd"/>
      <w:r w:rsidRPr="00BC6D6A">
        <w:rPr>
          <w:rFonts w:cs="Times New Roman"/>
          <w:sz w:val="22"/>
          <w:szCs w:val="22"/>
        </w:rPr>
        <w:t xml:space="preserve"> dan </w:t>
      </w:r>
      <w:proofErr w:type="spellStart"/>
      <w:r w:rsidRPr="00BC6D6A">
        <w:rPr>
          <w:rFonts w:cs="Times New Roman"/>
          <w:sz w:val="22"/>
          <w:szCs w:val="22"/>
        </w:rPr>
        <w:t>narasi</w:t>
      </w:r>
      <w:proofErr w:type="spellEnd"/>
      <w:r w:rsidRPr="00BC6D6A">
        <w:rPr>
          <w:rFonts w:cs="Times New Roman"/>
          <w:sz w:val="22"/>
          <w:szCs w:val="22"/>
        </w:rPr>
        <w:t xml:space="preserve">. </w:t>
      </w:r>
    </w:p>
    <w:p w14:paraId="5F895B8D" w14:textId="0BEFCBF9" w:rsidR="00B46EE3" w:rsidRPr="00BC6D6A" w:rsidRDefault="00000000">
      <w:pPr>
        <w:spacing w:line="360" w:lineRule="auto"/>
        <w:ind w:firstLine="426"/>
        <w:jc w:val="both"/>
        <w:rPr>
          <w:rFonts w:cs="Times New Roman"/>
          <w:sz w:val="22"/>
          <w:szCs w:val="22"/>
        </w:rPr>
      </w:pPr>
      <w:proofErr w:type="spellStart"/>
      <w:r w:rsidRPr="00BC6D6A">
        <w:rPr>
          <w:rFonts w:cs="Times New Roman"/>
          <w:sz w:val="22"/>
          <w:szCs w:val="22"/>
        </w:rPr>
        <w:t>Analisis</w:t>
      </w:r>
      <w:proofErr w:type="spellEnd"/>
      <w:r w:rsidRPr="00BC6D6A">
        <w:rPr>
          <w:rFonts w:cs="Times New Roman"/>
          <w:sz w:val="22"/>
          <w:szCs w:val="22"/>
        </w:rPr>
        <w:t xml:space="preserve"> data </w:t>
      </w:r>
      <w:proofErr w:type="spellStart"/>
      <w:r w:rsidRPr="00BC6D6A">
        <w:rPr>
          <w:rFonts w:cs="Times New Roman"/>
          <w:sz w:val="22"/>
          <w:szCs w:val="22"/>
        </w:rPr>
        <w:t>bivariat</w:t>
      </w:r>
      <w:proofErr w:type="spellEnd"/>
      <w:r w:rsidRPr="00BC6D6A">
        <w:rPr>
          <w:rFonts w:cs="Times New Roman"/>
          <w:sz w:val="22"/>
          <w:szCs w:val="22"/>
        </w:rPr>
        <w:t xml:space="preserve"> </w:t>
      </w:r>
      <w:proofErr w:type="spellStart"/>
      <w:r w:rsidRPr="00BC6D6A">
        <w:rPr>
          <w:rFonts w:cs="Times New Roman"/>
          <w:sz w:val="22"/>
          <w:szCs w:val="22"/>
        </w:rPr>
        <w:t>menggunakan</w:t>
      </w:r>
      <w:proofErr w:type="spellEnd"/>
      <w:r w:rsidRPr="00BC6D6A">
        <w:rPr>
          <w:rFonts w:cs="Times New Roman"/>
          <w:sz w:val="22"/>
          <w:szCs w:val="22"/>
        </w:rPr>
        <w:t xml:space="preserve"> </w:t>
      </w:r>
      <w:proofErr w:type="spellStart"/>
      <w:r w:rsidRPr="00BC6D6A">
        <w:rPr>
          <w:rFonts w:cs="Times New Roman"/>
          <w:sz w:val="22"/>
          <w:szCs w:val="22"/>
        </w:rPr>
        <w:t>metode</w:t>
      </w:r>
      <w:proofErr w:type="spellEnd"/>
      <w:r w:rsidRPr="00BC6D6A">
        <w:rPr>
          <w:rFonts w:cs="Times New Roman"/>
          <w:sz w:val="22"/>
          <w:szCs w:val="22"/>
        </w:rPr>
        <w:t xml:space="preserve"> </w:t>
      </w:r>
      <w:r w:rsidRPr="00BC6D6A">
        <w:rPr>
          <w:rFonts w:cs="Times New Roman"/>
          <w:i/>
          <w:sz w:val="22"/>
          <w:szCs w:val="22"/>
        </w:rPr>
        <w:t xml:space="preserve">chi-square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menentukan</w:t>
      </w:r>
      <w:proofErr w:type="spellEnd"/>
      <w:r w:rsidRPr="00BC6D6A">
        <w:rPr>
          <w:rFonts w:cs="Times New Roman"/>
          <w:sz w:val="22"/>
          <w:szCs w:val="22"/>
        </w:rPr>
        <w:t xml:space="preserve"> </w:t>
      </w:r>
      <w:proofErr w:type="spellStart"/>
      <w:r w:rsidRPr="00BC6D6A">
        <w:rPr>
          <w:rFonts w:cs="Times New Roman"/>
          <w:sz w:val="22"/>
          <w:szCs w:val="22"/>
        </w:rPr>
        <w:t>hubungan</w:t>
      </w:r>
      <w:proofErr w:type="spellEnd"/>
      <w:r w:rsidRPr="00BC6D6A">
        <w:rPr>
          <w:rFonts w:cs="Times New Roman"/>
          <w:sz w:val="22"/>
          <w:szCs w:val="22"/>
        </w:rPr>
        <w:t xml:space="preserve"> </w:t>
      </w:r>
      <w:proofErr w:type="spellStart"/>
      <w:r w:rsidRPr="00BC6D6A">
        <w:rPr>
          <w:rFonts w:cs="Times New Roman"/>
          <w:sz w:val="22"/>
          <w:szCs w:val="22"/>
        </w:rPr>
        <w:t>antara</w:t>
      </w:r>
      <w:proofErr w:type="spellEnd"/>
      <w:r w:rsidRPr="00BC6D6A">
        <w:rPr>
          <w:rFonts w:cs="Times New Roman"/>
          <w:sz w:val="22"/>
          <w:szCs w:val="22"/>
        </w:rPr>
        <w:t xml:space="preserve"> </w:t>
      </w:r>
      <w:proofErr w:type="spellStart"/>
      <w:r w:rsidRPr="00BC6D6A">
        <w:rPr>
          <w:rFonts w:cs="Times New Roman"/>
          <w:sz w:val="22"/>
          <w:szCs w:val="22"/>
        </w:rPr>
        <w:t>demografi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pemilihan</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Rumah Sakit X </w:t>
      </w:r>
      <w:proofErr w:type="spellStart"/>
      <w:r w:rsidRPr="00BC6D6A">
        <w:rPr>
          <w:rFonts w:cs="Times New Roman"/>
          <w:sz w:val="22"/>
          <w:szCs w:val="22"/>
        </w:rPr>
        <w:t>Tasikmalaya</w:t>
      </w:r>
      <w:proofErr w:type="spellEnd"/>
      <w:r w:rsidRPr="00BC6D6A">
        <w:rPr>
          <w:rFonts w:cs="Times New Roman"/>
          <w:sz w:val="22"/>
          <w:szCs w:val="22"/>
        </w:rPr>
        <w:t>.</w:t>
      </w:r>
      <w:r w:rsidR="00E255CE">
        <w:rPr>
          <w:rFonts w:cs="Times New Roman"/>
          <w:sz w:val="22"/>
          <w:szCs w:val="22"/>
        </w:rPr>
        <w:t xml:space="preserve"> </w:t>
      </w:r>
    </w:p>
    <w:p w14:paraId="338A0D82" w14:textId="77777777" w:rsidR="00B46EE3" w:rsidRPr="00BC6D6A" w:rsidRDefault="00000000">
      <w:pPr>
        <w:spacing w:before="240" w:line="288" w:lineRule="auto"/>
        <w:ind w:right="43"/>
        <w:jc w:val="both"/>
        <w:rPr>
          <w:rFonts w:cs="Times New Roman"/>
          <w:b/>
          <w:sz w:val="22"/>
          <w:szCs w:val="22"/>
        </w:rPr>
      </w:pPr>
      <w:r w:rsidRPr="00BC6D6A">
        <w:rPr>
          <w:rFonts w:cs="Times New Roman"/>
          <w:b/>
          <w:sz w:val="22"/>
          <w:szCs w:val="22"/>
        </w:rPr>
        <w:t>HASIL DAN PEMBAHASAN</w:t>
      </w:r>
    </w:p>
    <w:p w14:paraId="52351389" w14:textId="77777777" w:rsidR="00B46EE3" w:rsidRPr="00BC6D6A" w:rsidRDefault="00000000">
      <w:pPr>
        <w:spacing w:line="360" w:lineRule="auto"/>
        <w:jc w:val="both"/>
        <w:rPr>
          <w:rFonts w:cs="Times New Roman"/>
          <w:b/>
          <w:sz w:val="22"/>
          <w:szCs w:val="22"/>
        </w:rPr>
      </w:pPr>
      <w:proofErr w:type="spellStart"/>
      <w:r w:rsidRPr="00BC6D6A">
        <w:rPr>
          <w:rFonts w:cs="Times New Roman"/>
          <w:b/>
          <w:sz w:val="22"/>
          <w:szCs w:val="22"/>
        </w:rPr>
        <w:t>Demografi</w:t>
      </w:r>
      <w:proofErr w:type="spellEnd"/>
      <w:r w:rsidRPr="00BC6D6A">
        <w:rPr>
          <w:rFonts w:cs="Times New Roman"/>
          <w:b/>
          <w:sz w:val="22"/>
          <w:szCs w:val="22"/>
        </w:rPr>
        <w:t xml:space="preserve"> Pasien Bedah Digestif</w:t>
      </w:r>
    </w:p>
    <w:p w14:paraId="593B4A68" w14:textId="77777777" w:rsidR="00B46EE3" w:rsidRPr="00BC6D6A" w:rsidRDefault="00000000">
      <w:pPr>
        <w:spacing w:line="360" w:lineRule="auto"/>
        <w:ind w:firstLine="284"/>
        <w:jc w:val="both"/>
        <w:rPr>
          <w:rFonts w:cs="Times New Roman"/>
          <w:sz w:val="22"/>
          <w:szCs w:val="22"/>
        </w:rPr>
      </w:pPr>
      <w:bookmarkStart w:id="2" w:name="_heading=h.1fob9te" w:colFirst="0" w:colLast="0"/>
      <w:bookmarkEnd w:id="2"/>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tujuan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mengetahui</w:t>
      </w:r>
      <w:proofErr w:type="spellEnd"/>
      <w:r w:rsidRPr="00BC6D6A">
        <w:rPr>
          <w:rFonts w:cs="Times New Roman"/>
          <w:sz w:val="22"/>
          <w:szCs w:val="22"/>
        </w:rPr>
        <w:t xml:space="preserve"> </w:t>
      </w:r>
      <w:proofErr w:type="spellStart"/>
      <w:r w:rsidRPr="00BC6D6A">
        <w:rPr>
          <w:rFonts w:cs="Times New Roman"/>
          <w:sz w:val="22"/>
          <w:szCs w:val="22"/>
        </w:rPr>
        <w:t>profil</w:t>
      </w:r>
      <w:proofErr w:type="spellEnd"/>
      <w:r w:rsidRPr="00BC6D6A">
        <w:rPr>
          <w:rFonts w:cs="Times New Roman"/>
          <w:sz w:val="22"/>
          <w:szCs w:val="22"/>
        </w:rPr>
        <w:t xml:space="preserve"> dan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menjalani</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Rumah Sakit X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tahun</w:t>
      </w:r>
      <w:proofErr w:type="spellEnd"/>
      <w:r w:rsidRPr="00BC6D6A">
        <w:rPr>
          <w:rFonts w:cs="Times New Roman"/>
          <w:sz w:val="22"/>
          <w:szCs w:val="22"/>
        </w:rPr>
        <w:t xml:space="preserve"> 2023. </w:t>
      </w:r>
      <w:proofErr w:type="spellStart"/>
      <w:r w:rsidRPr="00BC6D6A">
        <w:rPr>
          <w:rFonts w:cs="Times New Roman"/>
          <w:sz w:val="22"/>
          <w:szCs w:val="22"/>
        </w:rPr>
        <w:t>Evaluasi</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meliputi</w:t>
      </w:r>
      <w:proofErr w:type="spellEnd"/>
      <w:r w:rsidRPr="00BC6D6A">
        <w:rPr>
          <w:rFonts w:cs="Times New Roman"/>
          <w:sz w:val="22"/>
          <w:szCs w:val="22"/>
        </w:rPr>
        <w:t xml:space="preserve"> </w:t>
      </w:r>
      <w:proofErr w:type="spellStart"/>
      <w:r w:rsidRPr="00BC6D6A">
        <w:rPr>
          <w:rFonts w:cs="Times New Roman"/>
          <w:sz w:val="22"/>
          <w:szCs w:val="22"/>
        </w:rPr>
        <w:t>demografi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menerima</w:t>
      </w:r>
      <w:proofErr w:type="spellEnd"/>
      <w:r w:rsidRPr="00BC6D6A">
        <w:rPr>
          <w:rFonts w:cs="Times New Roman"/>
          <w:sz w:val="22"/>
          <w:szCs w:val="22"/>
        </w:rPr>
        <w:t xml:space="preserve"> </w:t>
      </w:r>
      <w:proofErr w:type="spellStart"/>
      <w:r w:rsidRPr="00BC6D6A">
        <w:rPr>
          <w:rFonts w:cs="Times New Roman"/>
          <w:sz w:val="22"/>
          <w:szCs w:val="22"/>
        </w:rPr>
        <w:t>peresepan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yang </w:t>
      </w:r>
      <w:proofErr w:type="spellStart"/>
      <w:r w:rsidRPr="00BC6D6A">
        <w:rPr>
          <w:rFonts w:cs="Times New Roman"/>
          <w:sz w:val="22"/>
          <w:szCs w:val="22"/>
        </w:rPr>
        <w:t>tepat</w:t>
      </w:r>
      <w:proofErr w:type="spellEnd"/>
      <w:r w:rsidRPr="00BC6D6A">
        <w:rPr>
          <w:rFonts w:cs="Times New Roman"/>
          <w:sz w:val="22"/>
          <w:szCs w:val="22"/>
        </w:rPr>
        <w:t xml:space="preserve"> dan </w:t>
      </w:r>
      <w:proofErr w:type="spellStart"/>
      <w:r w:rsidRPr="00BC6D6A">
        <w:rPr>
          <w:rFonts w:cs="Times New Roman"/>
          <w:sz w:val="22"/>
          <w:szCs w:val="22"/>
        </w:rPr>
        <w:lastRenderedPageBreak/>
        <w:t>sesuai</w:t>
      </w:r>
      <w:proofErr w:type="spellEnd"/>
      <w:r w:rsidRPr="00BC6D6A">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penilaian</w:t>
      </w:r>
      <w:proofErr w:type="spellEnd"/>
      <w:r w:rsidRPr="00BC6D6A">
        <w:rPr>
          <w:rFonts w:cs="Times New Roman"/>
          <w:sz w:val="22"/>
          <w:szCs w:val="22"/>
        </w:rPr>
        <w:t xml:space="preserve">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w:t>
      </w:r>
      <w:proofErr w:type="spellStart"/>
      <w:r w:rsidRPr="00BC6D6A">
        <w:rPr>
          <w:rFonts w:cs="Times New Roman"/>
          <w:sz w:val="22"/>
          <w:szCs w:val="22"/>
        </w:rPr>
        <w:t>klasifikasi</w:t>
      </w:r>
      <w:proofErr w:type="spellEnd"/>
      <w:r w:rsidRPr="00BC6D6A">
        <w:rPr>
          <w:rFonts w:cs="Times New Roman"/>
          <w:i/>
          <w:sz w:val="22"/>
          <w:szCs w:val="22"/>
        </w:rPr>
        <w:t xml:space="preserve"> </w:t>
      </w:r>
      <w:proofErr w:type="spellStart"/>
      <w:r w:rsidRPr="00BC6D6A">
        <w:rPr>
          <w:rFonts w:cs="Times New Roman"/>
          <w:i/>
          <w:sz w:val="22"/>
          <w:szCs w:val="22"/>
        </w:rPr>
        <w:t>Gyssens</w:t>
      </w:r>
      <w:proofErr w:type="spellEnd"/>
      <w:r w:rsidRPr="00BC6D6A">
        <w:rPr>
          <w:rFonts w:cs="Times New Roman"/>
          <w:sz w:val="22"/>
          <w:szCs w:val="22"/>
        </w:rPr>
        <w:t xml:space="preserve">. Data yang </w:t>
      </w:r>
      <w:proofErr w:type="spellStart"/>
      <w:r w:rsidRPr="00BC6D6A">
        <w:rPr>
          <w:rFonts w:cs="Times New Roman"/>
          <w:sz w:val="22"/>
          <w:szCs w:val="22"/>
        </w:rPr>
        <w:t>memenuhi</w:t>
      </w:r>
      <w:proofErr w:type="spellEnd"/>
      <w:r w:rsidRPr="00BC6D6A">
        <w:rPr>
          <w:rFonts w:cs="Times New Roman"/>
          <w:sz w:val="22"/>
          <w:szCs w:val="22"/>
        </w:rPr>
        <w:t xml:space="preserve"> </w:t>
      </w:r>
      <w:proofErr w:type="spellStart"/>
      <w:r w:rsidRPr="00BC6D6A">
        <w:rPr>
          <w:rFonts w:cs="Times New Roman"/>
          <w:sz w:val="22"/>
          <w:szCs w:val="22"/>
        </w:rPr>
        <w:t>kriteria</w:t>
      </w:r>
      <w:proofErr w:type="spellEnd"/>
      <w:r w:rsidRPr="00BC6D6A">
        <w:rPr>
          <w:rFonts w:cs="Times New Roman"/>
          <w:sz w:val="22"/>
          <w:szCs w:val="22"/>
        </w:rPr>
        <w:t xml:space="preserve"> </w:t>
      </w:r>
      <w:proofErr w:type="spellStart"/>
      <w:r w:rsidRPr="00BC6D6A">
        <w:rPr>
          <w:rFonts w:cs="Times New Roman"/>
          <w:sz w:val="22"/>
          <w:szCs w:val="22"/>
        </w:rPr>
        <w:t>inklusi</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94 </w:t>
      </w:r>
      <w:proofErr w:type="spellStart"/>
      <w:r w:rsidRPr="00BC6D6A">
        <w:rPr>
          <w:rFonts w:cs="Times New Roman"/>
          <w:sz w:val="22"/>
          <w:szCs w:val="22"/>
        </w:rPr>
        <w:t>sampel</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Data </w:t>
      </w:r>
      <w:proofErr w:type="spellStart"/>
      <w:r w:rsidRPr="00BC6D6A">
        <w:rPr>
          <w:rFonts w:cs="Times New Roman"/>
          <w:sz w:val="22"/>
          <w:szCs w:val="22"/>
        </w:rPr>
        <w:t>demografi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disajikan</w:t>
      </w:r>
      <w:proofErr w:type="spellEnd"/>
      <w:r w:rsidRPr="00BC6D6A">
        <w:rPr>
          <w:rFonts w:cs="Times New Roman"/>
          <w:sz w:val="22"/>
          <w:szCs w:val="22"/>
        </w:rPr>
        <w:t xml:space="preserve"> pada Tabel 1. </w:t>
      </w:r>
    </w:p>
    <w:p w14:paraId="52A2573D" w14:textId="77777777" w:rsidR="00B46EE3" w:rsidRPr="00BC6D6A" w:rsidRDefault="00000000">
      <w:pPr>
        <w:spacing w:line="360" w:lineRule="auto"/>
        <w:ind w:firstLine="284"/>
        <w:jc w:val="center"/>
        <w:rPr>
          <w:rFonts w:cs="Times New Roman"/>
          <w:sz w:val="22"/>
          <w:szCs w:val="22"/>
        </w:rPr>
      </w:pPr>
      <w:bookmarkStart w:id="3" w:name="_heading=h.3znysh7" w:colFirst="0" w:colLast="0"/>
      <w:bookmarkEnd w:id="3"/>
      <w:r w:rsidRPr="00BC6D6A">
        <w:rPr>
          <w:rFonts w:cs="Times New Roman"/>
          <w:b/>
          <w:color w:val="000000"/>
        </w:rPr>
        <w:t>Tabel 1</w:t>
      </w:r>
      <w:r w:rsidRPr="00BC6D6A">
        <w:rPr>
          <w:rFonts w:cs="Times New Roman"/>
          <w:color w:val="000000"/>
        </w:rPr>
        <w:t xml:space="preserve">. </w:t>
      </w:r>
      <w:proofErr w:type="spellStart"/>
      <w:r w:rsidRPr="00BC6D6A">
        <w:rPr>
          <w:rFonts w:cs="Times New Roman"/>
          <w:b/>
          <w:color w:val="000000"/>
        </w:rPr>
        <w:t>Demografi</w:t>
      </w:r>
      <w:proofErr w:type="spellEnd"/>
      <w:r w:rsidRPr="00BC6D6A">
        <w:rPr>
          <w:rFonts w:cs="Times New Roman"/>
          <w:b/>
          <w:color w:val="000000"/>
        </w:rPr>
        <w:t xml:space="preserve"> Pasien Bedah Digestif</w:t>
      </w:r>
    </w:p>
    <w:tbl>
      <w:tblPr>
        <w:tblStyle w:val="a5"/>
        <w:tblW w:w="5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3"/>
        <w:gridCol w:w="912"/>
        <w:gridCol w:w="2175"/>
      </w:tblGrid>
      <w:tr w:rsidR="00B46EE3" w:rsidRPr="00BC6D6A" w14:paraId="422F032E" w14:textId="77777777" w:rsidTr="00E255CE">
        <w:trPr>
          <w:trHeight w:val="274"/>
          <w:jc w:val="center"/>
        </w:trPr>
        <w:tc>
          <w:tcPr>
            <w:tcW w:w="2413" w:type="dxa"/>
            <w:tcBorders>
              <w:left w:val="nil"/>
              <w:bottom w:val="single" w:sz="4" w:space="0" w:color="000000"/>
              <w:right w:val="nil"/>
            </w:tcBorders>
          </w:tcPr>
          <w:p w14:paraId="38F9A8BC" w14:textId="77777777" w:rsidR="00B46EE3" w:rsidRPr="00BC6D6A" w:rsidRDefault="00000000" w:rsidP="00BC6D6A">
            <w:pPr>
              <w:jc w:val="center"/>
              <w:rPr>
                <w:rFonts w:cs="Times New Roman"/>
                <w:b/>
                <w:bCs/>
              </w:rPr>
            </w:pPr>
            <w:proofErr w:type="spellStart"/>
            <w:r w:rsidRPr="00BC6D6A">
              <w:rPr>
                <w:rFonts w:cs="Times New Roman"/>
                <w:b/>
                <w:bCs/>
              </w:rPr>
              <w:t>Kategori</w:t>
            </w:r>
            <w:proofErr w:type="spellEnd"/>
          </w:p>
        </w:tc>
        <w:tc>
          <w:tcPr>
            <w:tcW w:w="912" w:type="dxa"/>
            <w:tcBorders>
              <w:left w:val="nil"/>
              <w:bottom w:val="single" w:sz="4" w:space="0" w:color="000000"/>
              <w:right w:val="nil"/>
            </w:tcBorders>
          </w:tcPr>
          <w:p w14:paraId="5CCB0B83" w14:textId="77777777" w:rsidR="00B46EE3" w:rsidRPr="00BC6D6A" w:rsidRDefault="00000000" w:rsidP="00BC6D6A">
            <w:pPr>
              <w:jc w:val="center"/>
              <w:rPr>
                <w:rFonts w:cs="Times New Roman"/>
                <w:b/>
                <w:bCs/>
              </w:rPr>
            </w:pPr>
            <w:proofErr w:type="spellStart"/>
            <w:r w:rsidRPr="00BC6D6A">
              <w:rPr>
                <w:rFonts w:cs="Times New Roman"/>
                <w:b/>
                <w:bCs/>
              </w:rPr>
              <w:t>Jumlah</w:t>
            </w:r>
            <w:proofErr w:type="spellEnd"/>
          </w:p>
        </w:tc>
        <w:tc>
          <w:tcPr>
            <w:tcW w:w="2175" w:type="dxa"/>
            <w:tcBorders>
              <w:left w:val="nil"/>
              <w:bottom w:val="single" w:sz="4" w:space="0" w:color="000000"/>
              <w:right w:val="nil"/>
            </w:tcBorders>
          </w:tcPr>
          <w:p w14:paraId="74858AE9" w14:textId="77777777" w:rsidR="00B46EE3" w:rsidRPr="00BC6D6A" w:rsidRDefault="00000000" w:rsidP="00BC6D6A">
            <w:pPr>
              <w:jc w:val="center"/>
              <w:rPr>
                <w:rFonts w:cs="Times New Roman"/>
                <w:b/>
                <w:bCs/>
              </w:rPr>
            </w:pPr>
            <w:r w:rsidRPr="00BC6D6A">
              <w:rPr>
                <w:rFonts w:cs="Times New Roman"/>
                <w:b/>
                <w:bCs/>
              </w:rPr>
              <w:t>% (n=94)</w:t>
            </w:r>
          </w:p>
        </w:tc>
      </w:tr>
      <w:tr w:rsidR="00B46EE3" w:rsidRPr="00BC6D6A" w14:paraId="261534AA" w14:textId="77777777" w:rsidTr="00E255CE">
        <w:trPr>
          <w:trHeight w:val="274"/>
          <w:jc w:val="center"/>
        </w:trPr>
        <w:tc>
          <w:tcPr>
            <w:tcW w:w="2413" w:type="dxa"/>
            <w:tcBorders>
              <w:left w:val="nil"/>
              <w:bottom w:val="nil"/>
              <w:right w:val="nil"/>
            </w:tcBorders>
          </w:tcPr>
          <w:p w14:paraId="2099E357" w14:textId="77777777" w:rsidR="00B46EE3" w:rsidRPr="00E255CE" w:rsidRDefault="00000000" w:rsidP="00BC6D6A">
            <w:pPr>
              <w:rPr>
                <w:rFonts w:cs="Times New Roman"/>
                <w:b/>
                <w:bCs/>
              </w:rPr>
            </w:pPr>
            <w:r w:rsidRPr="00E255CE">
              <w:rPr>
                <w:rFonts w:cs="Times New Roman"/>
                <w:b/>
                <w:bCs/>
              </w:rPr>
              <w:t xml:space="preserve">Jenis </w:t>
            </w:r>
            <w:proofErr w:type="spellStart"/>
            <w:r w:rsidRPr="00E255CE">
              <w:rPr>
                <w:rFonts w:cs="Times New Roman"/>
                <w:b/>
                <w:bCs/>
              </w:rPr>
              <w:t>Kelamin</w:t>
            </w:r>
            <w:proofErr w:type="spellEnd"/>
          </w:p>
        </w:tc>
        <w:tc>
          <w:tcPr>
            <w:tcW w:w="912" w:type="dxa"/>
            <w:tcBorders>
              <w:left w:val="nil"/>
              <w:bottom w:val="nil"/>
              <w:right w:val="nil"/>
            </w:tcBorders>
          </w:tcPr>
          <w:p w14:paraId="4AB33C19" w14:textId="77777777" w:rsidR="00B46EE3" w:rsidRPr="00BC6D6A" w:rsidRDefault="00B46EE3" w:rsidP="00BC6D6A">
            <w:pPr>
              <w:jc w:val="center"/>
              <w:rPr>
                <w:rFonts w:cs="Times New Roman"/>
              </w:rPr>
            </w:pPr>
          </w:p>
        </w:tc>
        <w:tc>
          <w:tcPr>
            <w:tcW w:w="2175" w:type="dxa"/>
            <w:tcBorders>
              <w:left w:val="nil"/>
              <w:bottom w:val="nil"/>
              <w:right w:val="nil"/>
            </w:tcBorders>
          </w:tcPr>
          <w:p w14:paraId="59156D76" w14:textId="77777777" w:rsidR="00B46EE3" w:rsidRPr="00BC6D6A" w:rsidRDefault="00B46EE3" w:rsidP="00BC6D6A">
            <w:pPr>
              <w:jc w:val="center"/>
              <w:rPr>
                <w:rFonts w:cs="Times New Roman"/>
              </w:rPr>
            </w:pPr>
          </w:p>
        </w:tc>
      </w:tr>
      <w:tr w:rsidR="00B46EE3" w:rsidRPr="00BC6D6A" w14:paraId="4E397ED3" w14:textId="77777777" w:rsidTr="00E255CE">
        <w:trPr>
          <w:trHeight w:val="251"/>
          <w:jc w:val="center"/>
        </w:trPr>
        <w:tc>
          <w:tcPr>
            <w:tcW w:w="2413" w:type="dxa"/>
            <w:tcBorders>
              <w:top w:val="nil"/>
              <w:left w:val="nil"/>
              <w:bottom w:val="nil"/>
              <w:right w:val="nil"/>
            </w:tcBorders>
          </w:tcPr>
          <w:p w14:paraId="16922DB6" w14:textId="3A43240E" w:rsidR="00B46EE3" w:rsidRPr="00BC6D6A" w:rsidRDefault="00E255CE" w:rsidP="00BC6D6A">
            <w:pPr>
              <w:rPr>
                <w:rFonts w:cs="Times New Roman"/>
              </w:rPr>
            </w:pPr>
            <w:r>
              <w:rPr>
                <w:rFonts w:cs="Times New Roman"/>
              </w:rPr>
              <w:t xml:space="preserve"> </w:t>
            </w:r>
            <w:r w:rsidRPr="00BC6D6A">
              <w:rPr>
                <w:rFonts w:cs="Times New Roman"/>
              </w:rPr>
              <w:t>Laki-</w:t>
            </w:r>
            <w:proofErr w:type="spellStart"/>
            <w:r w:rsidRPr="00BC6D6A">
              <w:rPr>
                <w:rFonts w:cs="Times New Roman"/>
              </w:rPr>
              <w:t>laki</w:t>
            </w:r>
            <w:proofErr w:type="spellEnd"/>
          </w:p>
        </w:tc>
        <w:tc>
          <w:tcPr>
            <w:tcW w:w="912" w:type="dxa"/>
            <w:tcBorders>
              <w:top w:val="nil"/>
              <w:left w:val="nil"/>
              <w:bottom w:val="nil"/>
              <w:right w:val="nil"/>
            </w:tcBorders>
          </w:tcPr>
          <w:p w14:paraId="00F04B54" w14:textId="77777777" w:rsidR="00B46EE3" w:rsidRPr="00BC6D6A" w:rsidRDefault="00000000" w:rsidP="00BC6D6A">
            <w:pPr>
              <w:jc w:val="center"/>
              <w:rPr>
                <w:rFonts w:cs="Times New Roman"/>
              </w:rPr>
            </w:pPr>
            <w:r w:rsidRPr="00BC6D6A">
              <w:rPr>
                <w:rFonts w:cs="Times New Roman"/>
              </w:rPr>
              <w:t>31</w:t>
            </w:r>
          </w:p>
        </w:tc>
        <w:tc>
          <w:tcPr>
            <w:tcW w:w="2175" w:type="dxa"/>
            <w:tcBorders>
              <w:top w:val="nil"/>
              <w:left w:val="nil"/>
              <w:bottom w:val="nil"/>
              <w:right w:val="nil"/>
            </w:tcBorders>
          </w:tcPr>
          <w:p w14:paraId="1D868F70" w14:textId="77777777" w:rsidR="00B46EE3" w:rsidRPr="00BC6D6A" w:rsidRDefault="00000000" w:rsidP="00BC6D6A">
            <w:pPr>
              <w:jc w:val="center"/>
              <w:rPr>
                <w:rFonts w:cs="Times New Roman"/>
              </w:rPr>
            </w:pPr>
            <w:r w:rsidRPr="00BC6D6A">
              <w:rPr>
                <w:rFonts w:cs="Times New Roman"/>
              </w:rPr>
              <w:t>32,98</w:t>
            </w:r>
          </w:p>
        </w:tc>
      </w:tr>
      <w:tr w:rsidR="00B46EE3" w:rsidRPr="00BC6D6A" w14:paraId="5DE71640" w14:textId="77777777" w:rsidTr="00E255CE">
        <w:trPr>
          <w:trHeight w:val="274"/>
          <w:jc w:val="center"/>
        </w:trPr>
        <w:tc>
          <w:tcPr>
            <w:tcW w:w="2413" w:type="dxa"/>
            <w:tcBorders>
              <w:top w:val="nil"/>
              <w:left w:val="nil"/>
              <w:bottom w:val="single" w:sz="4" w:space="0" w:color="000000"/>
              <w:right w:val="nil"/>
            </w:tcBorders>
          </w:tcPr>
          <w:p w14:paraId="0EC34068" w14:textId="51E15A45" w:rsidR="00B46EE3" w:rsidRPr="00BC6D6A" w:rsidRDefault="00E255CE" w:rsidP="00BC6D6A">
            <w:pPr>
              <w:rPr>
                <w:rFonts w:cs="Times New Roman"/>
              </w:rPr>
            </w:pPr>
            <w:r>
              <w:rPr>
                <w:rFonts w:cs="Times New Roman"/>
              </w:rPr>
              <w:t xml:space="preserve"> </w:t>
            </w:r>
            <w:r w:rsidRPr="00BC6D6A">
              <w:rPr>
                <w:rFonts w:cs="Times New Roman"/>
              </w:rPr>
              <w:t>Perempuan</w:t>
            </w:r>
          </w:p>
        </w:tc>
        <w:tc>
          <w:tcPr>
            <w:tcW w:w="912" w:type="dxa"/>
            <w:tcBorders>
              <w:top w:val="nil"/>
              <w:left w:val="nil"/>
              <w:bottom w:val="single" w:sz="4" w:space="0" w:color="000000"/>
              <w:right w:val="nil"/>
            </w:tcBorders>
          </w:tcPr>
          <w:p w14:paraId="738A862F" w14:textId="77777777" w:rsidR="00B46EE3" w:rsidRPr="00BC6D6A" w:rsidRDefault="00000000" w:rsidP="00BC6D6A">
            <w:pPr>
              <w:jc w:val="center"/>
              <w:rPr>
                <w:rFonts w:cs="Times New Roman"/>
              </w:rPr>
            </w:pPr>
            <w:r w:rsidRPr="00BC6D6A">
              <w:rPr>
                <w:rFonts w:cs="Times New Roman"/>
              </w:rPr>
              <w:t>63</w:t>
            </w:r>
          </w:p>
        </w:tc>
        <w:tc>
          <w:tcPr>
            <w:tcW w:w="2175" w:type="dxa"/>
            <w:tcBorders>
              <w:top w:val="nil"/>
              <w:left w:val="nil"/>
              <w:bottom w:val="single" w:sz="4" w:space="0" w:color="000000"/>
              <w:right w:val="nil"/>
            </w:tcBorders>
          </w:tcPr>
          <w:p w14:paraId="244A9FF4" w14:textId="77777777" w:rsidR="00B46EE3" w:rsidRPr="00BC6D6A" w:rsidRDefault="00000000" w:rsidP="00BC6D6A">
            <w:pPr>
              <w:jc w:val="center"/>
              <w:rPr>
                <w:rFonts w:cs="Times New Roman"/>
              </w:rPr>
            </w:pPr>
            <w:r w:rsidRPr="00BC6D6A">
              <w:rPr>
                <w:rFonts w:cs="Times New Roman"/>
              </w:rPr>
              <w:t>67,02</w:t>
            </w:r>
          </w:p>
        </w:tc>
      </w:tr>
      <w:tr w:rsidR="00B46EE3" w:rsidRPr="00BC6D6A" w14:paraId="3B7820BA" w14:textId="77777777" w:rsidTr="00E255CE">
        <w:trPr>
          <w:trHeight w:val="274"/>
          <w:jc w:val="center"/>
        </w:trPr>
        <w:tc>
          <w:tcPr>
            <w:tcW w:w="2413" w:type="dxa"/>
            <w:tcBorders>
              <w:left w:val="nil"/>
              <w:bottom w:val="nil"/>
              <w:right w:val="nil"/>
            </w:tcBorders>
          </w:tcPr>
          <w:p w14:paraId="054D8173" w14:textId="77777777" w:rsidR="00B46EE3" w:rsidRPr="00E255CE" w:rsidRDefault="00000000" w:rsidP="00BC6D6A">
            <w:pPr>
              <w:rPr>
                <w:rFonts w:cs="Times New Roman"/>
                <w:b/>
                <w:bCs/>
              </w:rPr>
            </w:pPr>
            <w:proofErr w:type="spellStart"/>
            <w:r w:rsidRPr="00E255CE">
              <w:rPr>
                <w:rFonts w:cs="Times New Roman"/>
                <w:b/>
                <w:bCs/>
              </w:rPr>
              <w:t>Usia</w:t>
            </w:r>
            <w:proofErr w:type="spellEnd"/>
          </w:p>
        </w:tc>
        <w:tc>
          <w:tcPr>
            <w:tcW w:w="912" w:type="dxa"/>
            <w:tcBorders>
              <w:left w:val="nil"/>
              <w:bottom w:val="nil"/>
              <w:right w:val="nil"/>
            </w:tcBorders>
          </w:tcPr>
          <w:p w14:paraId="096BD759" w14:textId="77777777" w:rsidR="00B46EE3" w:rsidRPr="00BC6D6A" w:rsidRDefault="00B46EE3" w:rsidP="00BC6D6A">
            <w:pPr>
              <w:jc w:val="center"/>
              <w:rPr>
                <w:rFonts w:cs="Times New Roman"/>
              </w:rPr>
            </w:pPr>
          </w:p>
        </w:tc>
        <w:tc>
          <w:tcPr>
            <w:tcW w:w="2175" w:type="dxa"/>
            <w:tcBorders>
              <w:left w:val="nil"/>
              <w:bottom w:val="nil"/>
              <w:right w:val="nil"/>
            </w:tcBorders>
          </w:tcPr>
          <w:p w14:paraId="09311826" w14:textId="77777777" w:rsidR="00B46EE3" w:rsidRPr="00BC6D6A" w:rsidRDefault="00B46EE3" w:rsidP="00BC6D6A">
            <w:pPr>
              <w:jc w:val="center"/>
              <w:rPr>
                <w:rFonts w:cs="Times New Roman"/>
              </w:rPr>
            </w:pPr>
          </w:p>
        </w:tc>
      </w:tr>
      <w:tr w:rsidR="00B46EE3" w:rsidRPr="00BC6D6A" w14:paraId="3F12E174" w14:textId="77777777" w:rsidTr="00E255CE">
        <w:trPr>
          <w:trHeight w:val="251"/>
          <w:jc w:val="center"/>
        </w:trPr>
        <w:tc>
          <w:tcPr>
            <w:tcW w:w="2413" w:type="dxa"/>
            <w:tcBorders>
              <w:top w:val="nil"/>
              <w:left w:val="nil"/>
              <w:bottom w:val="nil"/>
              <w:right w:val="nil"/>
            </w:tcBorders>
          </w:tcPr>
          <w:p w14:paraId="0A8C5EE2" w14:textId="370602F3" w:rsidR="00B46EE3" w:rsidRPr="00BC6D6A" w:rsidRDefault="00E255CE" w:rsidP="00BC6D6A">
            <w:pPr>
              <w:rPr>
                <w:rFonts w:cs="Times New Roman"/>
              </w:rPr>
            </w:pPr>
            <w:r>
              <w:rPr>
                <w:rFonts w:cs="Times New Roman"/>
              </w:rPr>
              <w:t xml:space="preserve"> </w:t>
            </w:r>
            <w:r w:rsidRPr="00BC6D6A">
              <w:rPr>
                <w:rFonts w:cs="Times New Roman"/>
              </w:rPr>
              <w:t xml:space="preserve">1-6 </w:t>
            </w:r>
            <w:proofErr w:type="spellStart"/>
            <w:r w:rsidRPr="00BC6D6A">
              <w:rPr>
                <w:rFonts w:cs="Times New Roman"/>
              </w:rPr>
              <w:t>tahun</w:t>
            </w:r>
            <w:proofErr w:type="spellEnd"/>
          </w:p>
        </w:tc>
        <w:tc>
          <w:tcPr>
            <w:tcW w:w="912" w:type="dxa"/>
            <w:tcBorders>
              <w:top w:val="nil"/>
              <w:left w:val="nil"/>
              <w:bottom w:val="nil"/>
              <w:right w:val="nil"/>
            </w:tcBorders>
          </w:tcPr>
          <w:p w14:paraId="4620B960" w14:textId="77777777" w:rsidR="00B46EE3" w:rsidRPr="00BC6D6A" w:rsidRDefault="00000000" w:rsidP="00BC6D6A">
            <w:pPr>
              <w:jc w:val="center"/>
              <w:rPr>
                <w:rFonts w:cs="Times New Roman"/>
              </w:rPr>
            </w:pPr>
            <w:r w:rsidRPr="00BC6D6A">
              <w:rPr>
                <w:rFonts w:cs="Times New Roman"/>
              </w:rPr>
              <w:t>2</w:t>
            </w:r>
          </w:p>
        </w:tc>
        <w:tc>
          <w:tcPr>
            <w:tcW w:w="2175" w:type="dxa"/>
            <w:tcBorders>
              <w:top w:val="nil"/>
              <w:left w:val="nil"/>
              <w:bottom w:val="nil"/>
              <w:right w:val="nil"/>
            </w:tcBorders>
          </w:tcPr>
          <w:p w14:paraId="70747755" w14:textId="77777777" w:rsidR="00B46EE3" w:rsidRPr="00BC6D6A" w:rsidRDefault="00000000" w:rsidP="00BC6D6A">
            <w:pPr>
              <w:jc w:val="center"/>
              <w:rPr>
                <w:rFonts w:cs="Times New Roman"/>
              </w:rPr>
            </w:pPr>
            <w:r w:rsidRPr="00BC6D6A">
              <w:rPr>
                <w:rFonts w:cs="Times New Roman"/>
              </w:rPr>
              <w:t>2,13</w:t>
            </w:r>
          </w:p>
        </w:tc>
      </w:tr>
      <w:tr w:rsidR="00B46EE3" w:rsidRPr="00BC6D6A" w14:paraId="774F899B" w14:textId="77777777" w:rsidTr="00E255CE">
        <w:trPr>
          <w:trHeight w:val="274"/>
          <w:jc w:val="center"/>
        </w:trPr>
        <w:tc>
          <w:tcPr>
            <w:tcW w:w="2413" w:type="dxa"/>
            <w:tcBorders>
              <w:top w:val="nil"/>
              <w:left w:val="nil"/>
              <w:bottom w:val="nil"/>
              <w:right w:val="nil"/>
            </w:tcBorders>
          </w:tcPr>
          <w:p w14:paraId="525FF66E" w14:textId="6AFBF0B1" w:rsidR="00B46EE3" w:rsidRPr="00BC6D6A" w:rsidRDefault="00E255CE" w:rsidP="00BC6D6A">
            <w:pPr>
              <w:rPr>
                <w:rFonts w:cs="Times New Roman"/>
              </w:rPr>
            </w:pPr>
            <w:r>
              <w:rPr>
                <w:rFonts w:cs="Times New Roman"/>
              </w:rPr>
              <w:t xml:space="preserve"> </w:t>
            </w:r>
            <w:r w:rsidRPr="00BC6D6A">
              <w:rPr>
                <w:rFonts w:cs="Times New Roman"/>
              </w:rPr>
              <w:t xml:space="preserve">7-18 </w:t>
            </w:r>
            <w:proofErr w:type="spellStart"/>
            <w:r w:rsidRPr="00BC6D6A">
              <w:rPr>
                <w:rFonts w:cs="Times New Roman"/>
              </w:rPr>
              <w:t>tahun</w:t>
            </w:r>
            <w:proofErr w:type="spellEnd"/>
          </w:p>
        </w:tc>
        <w:tc>
          <w:tcPr>
            <w:tcW w:w="912" w:type="dxa"/>
            <w:tcBorders>
              <w:top w:val="nil"/>
              <w:left w:val="nil"/>
              <w:bottom w:val="nil"/>
              <w:right w:val="nil"/>
            </w:tcBorders>
          </w:tcPr>
          <w:p w14:paraId="467DCB41" w14:textId="77777777" w:rsidR="00B46EE3" w:rsidRPr="00BC6D6A" w:rsidRDefault="00000000" w:rsidP="00BC6D6A">
            <w:pPr>
              <w:jc w:val="center"/>
              <w:rPr>
                <w:rFonts w:cs="Times New Roman"/>
              </w:rPr>
            </w:pPr>
            <w:r w:rsidRPr="00BC6D6A">
              <w:rPr>
                <w:rFonts w:cs="Times New Roman"/>
              </w:rPr>
              <w:t>16</w:t>
            </w:r>
          </w:p>
        </w:tc>
        <w:tc>
          <w:tcPr>
            <w:tcW w:w="2175" w:type="dxa"/>
            <w:tcBorders>
              <w:top w:val="nil"/>
              <w:left w:val="nil"/>
              <w:bottom w:val="nil"/>
              <w:right w:val="nil"/>
            </w:tcBorders>
          </w:tcPr>
          <w:p w14:paraId="62EB48AA" w14:textId="77777777" w:rsidR="00B46EE3" w:rsidRPr="00BC6D6A" w:rsidRDefault="00000000" w:rsidP="00BC6D6A">
            <w:pPr>
              <w:jc w:val="center"/>
              <w:rPr>
                <w:rFonts w:cs="Times New Roman"/>
              </w:rPr>
            </w:pPr>
            <w:r w:rsidRPr="00BC6D6A">
              <w:rPr>
                <w:rFonts w:cs="Times New Roman"/>
              </w:rPr>
              <w:t>17,02</w:t>
            </w:r>
          </w:p>
        </w:tc>
      </w:tr>
      <w:tr w:rsidR="00B46EE3" w:rsidRPr="00BC6D6A" w14:paraId="14F31B90" w14:textId="77777777" w:rsidTr="00E255CE">
        <w:trPr>
          <w:trHeight w:val="251"/>
          <w:jc w:val="center"/>
        </w:trPr>
        <w:tc>
          <w:tcPr>
            <w:tcW w:w="2413" w:type="dxa"/>
            <w:tcBorders>
              <w:top w:val="nil"/>
              <w:left w:val="nil"/>
              <w:bottom w:val="nil"/>
              <w:right w:val="nil"/>
            </w:tcBorders>
          </w:tcPr>
          <w:p w14:paraId="415EF612" w14:textId="6493594D" w:rsidR="00B46EE3" w:rsidRPr="00BC6D6A" w:rsidRDefault="00E255CE" w:rsidP="00BC6D6A">
            <w:pPr>
              <w:rPr>
                <w:rFonts w:cs="Times New Roman"/>
              </w:rPr>
            </w:pPr>
            <w:r>
              <w:rPr>
                <w:rFonts w:cs="Times New Roman"/>
              </w:rPr>
              <w:t xml:space="preserve"> </w:t>
            </w:r>
            <w:r w:rsidRPr="00BC6D6A">
              <w:rPr>
                <w:rFonts w:cs="Times New Roman"/>
              </w:rPr>
              <w:t xml:space="preserve">19-45 </w:t>
            </w:r>
            <w:proofErr w:type="spellStart"/>
            <w:r w:rsidRPr="00BC6D6A">
              <w:rPr>
                <w:rFonts w:cs="Times New Roman"/>
              </w:rPr>
              <w:t>tahun</w:t>
            </w:r>
            <w:proofErr w:type="spellEnd"/>
          </w:p>
          <w:p w14:paraId="7312E6A1" w14:textId="3B2DDD91" w:rsidR="00B46EE3" w:rsidRPr="00BC6D6A" w:rsidRDefault="00E255CE" w:rsidP="00BC6D6A">
            <w:pPr>
              <w:rPr>
                <w:rFonts w:cs="Times New Roman"/>
              </w:rPr>
            </w:pPr>
            <w:r>
              <w:rPr>
                <w:rFonts w:cs="Times New Roman"/>
              </w:rPr>
              <w:t xml:space="preserve"> </w:t>
            </w:r>
            <w:r w:rsidRPr="00BC6D6A">
              <w:rPr>
                <w:rFonts w:cs="Times New Roman"/>
              </w:rPr>
              <w:t xml:space="preserve">46-59 </w:t>
            </w:r>
            <w:proofErr w:type="spellStart"/>
            <w:r w:rsidRPr="00BC6D6A">
              <w:rPr>
                <w:rFonts w:cs="Times New Roman"/>
              </w:rPr>
              <w:t>tahun</w:t>
            </w:r>
            <w:proofErr w:type="spellEnd"/>
          </w:p>
        </w:tc>
        <w:tc>
          <w:tcPr>
            <w:tcW w:w="912" w:type="dxa"/>
            <w:tcBorders>
              <w:top w:val="nil"/>
              <w:left w:val="nil"/>
              <w:bottom w:val="nil"/>
              <w:right w:val="nil"/>
            </w:tcBorders>
          </w:tcPr>
          <w:p w14:paraId="3726A361" w14:textId="77777777" w:rsidR="00B46EE3" w:rsidRPr="00BC6D6A" w:rsidRDefault="00000000" w:rsidP="00BC6D6A">
            <w:pPr>
              <w:jc w:val="center"/>
              <w:rPr>
                <w:rFonts w:cs="Times New Roman"/>
              </w:rPr>
            </w:pPr>
            <w:r w:rsidRPr="00BC6D6A">
              <w:rPr>
                <w:rFonts w:cs="Times New Roman"/>
              </w:rPr>
              <w:t>43</w:t>
            </w:r>
          </w:p>
          <w:p w14:paraId="60568180" w14:textId="77777777" w:rsidR="00B46EE3" w:rsidRPr="00BC6D6A" w:rsidRDefault="00000000" w:rsidP="00BC6D6A">
            <w:pPr>
              <w:jc w:val="center"/>
              <w:rPr>
                <w:rFonts w:cs="Times New Roman"/>
              </w:rPr>
            </w:pPr>
            <w:r w:rsidRPr="00BC6D6A">
              <w:rPr>
                <w:rFonts w:cs="Times New Roman"/>
              </w:rPr>
              <w:t>14</w:t>
            </w:r>
          </w:p>
        </w:tc>
        <w:tc>
          <w:tcPr>
            <w:tcW w:w="2175" w:type="dxa"/>
            <w:tcBorders>
              <w:top w:val="nil"/>
              <w:left w:val="nil"/>
              <w:bottom w:val="nil"/>
              <w:right w:val="nil"/>
            </w:tcBorders>
          </w:tcPr>
          <w:p w14:paraId="71B2ED5B" w14:textId="77777777" w:rsidR="00B46EE3" w:rsidRPr="00BC6D6A" w:rsidRDefault="00000000" w:rsidP="00BC6D6A">
            <w:pPr>
              <w:jc w:val="center"/>
              <w:rPr>
                <w:rFonts w:cs="Times New Roman"/>
              </w:rPr>
            </w:pPr>
            <w:r w:rsidRPr="00BC6D6A">
              <w:rPr>
                <w:rFonts w:cs="Times New Roman"/>
              </w:rPr>
              <w:t>45,74</w:t>
            </w:r>
          </w:p>
          <w:p w14:paraId="78489E70" w14:textId="77777777" w:rsidR="00B46EE3" w:rsidRPr="00BC6D6A" w:rsidRDefault="00000000" w:rsidP="00BC6D6A">
            <w:pPr>
              <w:jc w:val="center"/>
              <w:rPr>
                <w:rFonts w:cs="Times New Roman"/>
              </w:rPr>
            </w:pPr>
            <w:r w:rsidRPr="00BC6D6A">
              <w:rPr>
                <w:rFonts w:cs="Times New Roman"/>
              </w:rPr>
              <w:t>14,89</w:t>
            </w:r>
          </w:p>
        </w:tc>
      </w:tr>
      <w:tr w:rsidR="00B46EE3" w:rsidRPr="00BC6D6A" w14:paraId="166E95D8" w14:textId="77777777" w:rsidTr="00E255CE">
        <w:trPr>
          <w:trHeight w:val="274"/>
          <w:jc w:val="center"/>
        </w:trPr>
        <w:tc>
          <w:tcPr>
            <w:tcW w:w="2413" w:type="dxa"/>
            <w:tcBorders>
              <w:top w:val="nil"/>
              <w:left w:val="nil"/>
              <w:right w:val="nil"/>
            </w:tcBorders>
          </w:tcPr>
          <w:p w14:paraId="4D7513F1" w14:textId="0C6AA173" w:rsidR="00B46EE3" w:rsidRPr="00BC6D6A" w:rsidRDefault="00000000" w:rsidP="00BC6D6A">
            <w:pPr>
              <w:rPr>
                <w:rFonts w:cs="Times New Roman"/>
              </w:rPr>
            </w:pPr>
            <w:sdt>
              <w:sdtPr>
                <w:rPr>
                  <w:rFonts w:cs="Times New Roman"/>
                </w:rPr>
                <w:tag w:val="goog_rdk_0"/>
                <w:id w:val="1643539529"/>
              </w:sdtPr>
              <w:sdtContent>
                <w:r w:rsidR="00E255CE">
                  <w:rPr>
                    <w:rFonts w:eastAsia="Gungsuh" w:cs="Times New Roman"/>
                  </w:rPr>
                  <w:t xml:space="preserve"> </w:t>
                </w:r>
                <w:r w:rsidRPr="00BC6D6A">
                  <w:rPr>
                    <w:rFonts w:eastAsia="Gungsuh" w:cs="Times New Roman"/>
                  </w:rPr>
                  <w:t xml:space="preserve">≥ 60 </w:t>
                </w:r>
                <w:proofErr w:type="spellStart"/>
                <w:r w:rsidRPr="00BC6D6A">
                  <w:rPr>
                    <w:rFonts w:eastAsia="Gungsuh" w:cs="Times New Roman"/>
                  </w:rPr>
                  <w:t>tahun</w:t>
                </w:r>
                <w:proofErr w:type="spellEnd"/>
              </w:sdtContent>
            </w:sdt>
          </w:p>
        </w:tc>
        <w:tc>
          <w:tcPr>
            <w:tcW w:w="912" w:type="dxa"/>
            <w:tcBorders>
              <w:top w:val="nil"/>
              <w:left w:val="nil"/>
              <w:bottom w:val="single" w:sz="4" w:space="0" w:color="000000"/>
              <w:right w:val="nil"/>
            </w:tcBorders>
          </w:tcPr>
          <w:p w14:paraId="1F8AD9F9" w14:textId="77777777" w:rsidR="00B46EE3" w:rsidRPr="00BC6D6A" w:rsidRDefault="00000000" w:rsidP="00BC6D6A">
            <w:pPr>
              <w:jc w:val="center"/>
              <w:rPr>
                <w:rFonts w:cs="Times New Roman"/>
              </w:rPr>
            </w:pPr>
            <w:r w:rsidRPr="00BC6D6A">
              <w:rPr>
                <w:rFonts w:cs="Times New Roman"/>
              </w:rPr>
              <w:t>19</w:t>
            </w:r>
          </w:p>
        </w:tc>
        <w:tc>
          <w:tcPr>
            <w:tcW w:w="2175" w:type="dxa"/>
            <w:tcBorders>
              <w:top w:val="nil"/>
              <w:left w:val="nil"/>
              <w:right w:val="nil"/>
            </w:tcBorders>
          </w:tcPr>
          <w:p w14:paraId="2CD8DBA2" w14:textId="77777777" w:rsidR="00B46EE3" w:rsidRPr="00BC6D6A" w:rsidRDefault="00000000" w:rsidP="00BC6D6A">
            <w:pPr>
              <w:jc w:val="center"/>
              <w:rPr>
                <w:rFonts w:cs="Times New Roman"/>
              </w:rPr>
            </w:pPr>
            <w:r w:rsidRPr="00BC6D6A">
              <w:rPr>
                <w:rFonts w:cs="Times New Roman"/>
              </w:rPr>
              <w:t>20,21</w:t>
            </w:r>
          </w:p>
        </w:tc>
      </w:tr>
      <w:tr w:rsidR="00B46EE3" w:rsidRPr="00BC6D6A" w14:paraId="3ABF8852" w14:textId="77777777" w:rsidTr="00E255CE">
        <w:trPr>
          <w:trHeight w:val="274"/>
          <w:jc w:val="center"/>
        </w:trPr>
        <w:tc>
          <w:tcPr>
            <w:tcW w:w="2413" w:type="dxa"/>
            <w:tcBorders>
              <w:left w:val="nil"/>
              <w:right w:val="nil"/>
            </w:tcBorders>
          </w:tcPr>
          <w:p w14:paraId="2B773797" w14:textId="77777777" w:rsidR="00B46EE3" w:rsidRPr="00E255CE" w:rsidRDefault="00000000" w:rsidP="00BC6D6A">
            <w:pPr>
              <w:rPr>
                <w:rFonts w:cs="Times New Roman"/>
                <w:b/>
                <w:bCs/>
              </w:rPr>
            </w:pPr>
            <w:proofErr w:type="spellStart"/>
            <w:r w:rsidRPr="00E255CE">
              <w:rPr>
                <w:rFonts w:cs="Times New Roman"/>
                <w:b/>
                <w:bCs/>
              </w:rPr>
              <w:t>Pekerjaan</w:t>
            </w:r>
            <w:proofErr w:type="spellEnd"/>
          </w:p>
          <w:p w14:paraId="179C7792" w14:textId="69F38E22" w:rsidR="00B46EE3" w:rsidRPr="00BC6D6A" w:rsidRDefault="00E255CE" w:rsidP="00BC6D6A">
            <w:pPr>
              <w:rPr>
                <w:rFonts w:cs="Times New Roman"/>
              </w:rPr>
            </w:pPr>
            <w:r>
              <w:rPr>
                <w:rFonts w:cs="Times New Roman"/>
              </w:rPr>
              <w:t xml:space="preserve"> </w:t>
            </w:r>
            <w:r w:rsidRPr="00BC6D6A">
              <w:rPr>
                <w:rFonts w:cs="Times New Roman"/>
              </w:rPr>
              <w:t>IRT</w:t>
            </w:r>
          </w:p>
          <w:p w14:paraId="68A3DC1A" w14:textId="0DD1C340" w:rsidR="00B46EE3" w:rsidRPr="00BC6D6A" w:rsidRDefault="00E255CE" w:rsidP="00BC6D6A">
            <w:pPr>
              <w:rPr>
                <w:rFonts w:cs="Times New Roman"/>
              </w:rPr>
            </w:pPr>
            <w:r>
              <w:rPr>
                <w:rFonts w:cs="Times New Roman"/>
              </w:rPr>
              <w:t xml:space="preserve"> </w:t>
            </w:r>
            <w:proofErr w:type="spellStart"/>
            <w:r w:rsidRPr="00BC6D6A">
              <w:rPr>
                <w:rFonts w:cs="Times New Roman"/>
              </w:rPr>
              <w:t>Mahasiswa</w:t>
            </w:r>
            <w:proofErr w:type="spellEnd"/>
            <w:r w:rsidRPr="00BC6D6A">
              <w:rPr>
                <w:rFonts w:cs="Times New Roman"/>
              </w:rPr>
              <w:t>/</w:t>
            </w:r>
            <w:proofErr w:type="spellStart"/>
            <w:r w:rsidRPr="00BC6D6A">
              <w:rPr>
                <w:rFonts w:cs="Times New Roman"/>
              </w:rPr>
              <w:t>Pelajar</w:t>
            </w:r>
            <w:proofErr w:type="spellEnd"/>
          </w:p>
          <w:p w14:paraId="713FB6E5" w14:textId="75E3A2DC" w:rsidR="00B46EE3" w:rsidRPr="00BC6D6A" w:rsidRDefault="00E255CE" w:rsidP="00BC6D6A">
            <w:pPr>
              <w:rPr>
                <w:rFonts w:cs="Times New Roman"/>
              </w:rPr>
            </w:pPr>
            <w:r>
              <w:rPr>
                <w:rFonts w:cs="Times New Roman"/>
              </w:rPr>
              <w:t xml:space="preserve"> </w:t>
            </w:r>
            <w:proofErr w:type="spellStart"/>
            <w:r w:rsidRPr="00BC6D6A">
              <w:rPr>
                <w:rFonts w:cs="Times New Roman"/>
              </w:rPr>
              <w:t>Wiraswasta</w:t>
            </w:r>
            <w:proofErr w:type="spellEnd"/>
          </w:p>
          <w:p w14:paraId="34586D26" w14:textId="473CC627" w:rsidR="00B46EE3" w:rsidRPr="00BC6D6A" w:rsidRDefault="00E255CE" w:rsidP="00BC6D6A">
            <w:pPr>
              <w:rPr>
                <w:rFonts w:cs="Times New Roman"/>
              </w:rPr>
            </w:pPr>
            <w:r>
              <w:rPr>
                <w:rFonts w:cs="Times New Roman"/>
              </w:rPr>
              <w:t xml:space="preserve"> </w:t>
            </w:r>
            <w:r w:rsidRPr="00BC6D6A">
              <w:rPr>
                <w:rFonts w:cs="Times New Roman"/>
              </w:rPr>
              <w:t>PNS</w:t>
            </w:r>
          </w:p>
          <w:p w14:paraId="3F600B51" w14:textId="3CA52FDC" w:rsidR="00B46EE3" w:rsidRPr="00BC6D6A" w:rsidRDefault="00E255CE" w:rsidP="00BC6D6A">
            <w:pPr>
              <w:rPr>
                <w:rFonts w:cs="Times New Roman"/>
              </w:rPr>
            </w:pPr>
            <w:r>
              <w:rPr>
                <w:rFonts w:cs="Times New Roman"/>
              </w:rPr>
              <w:t xml:space="preserve"> </w:t>
            </w:r>
            <w:r w:rsidRPr="00BC6D6A">
              <w:rPr>
                <w:rFonts w:cs="Times New Roman"/>
              </w:rPr>
              <w:t xml:space="preserve">Tidak </w:t>
            </w:r>
            <w:proofErr w:type="spellStart"/>
            <w:r w:rsidRPr="00BC6D6A">
              <w:rPr>
                <w:rFonts w:cs="Times New Roman"/>
              </w:rPr>
              <w:t>Bekerja</w:t>
            </w:r>
            <w:proofErr w:type="spellEnd"/>
          </w:p>
        </w:tc>
        <w:tc>
          <w:tcPr>
            <w:tcW w:w="912" w:type="dxa"/>
            <w:tcBorders>
              <w:left w:val="nil"/>
              <w:right w:val="nil"/>
            </w:tcBorders>
          </w:tcPr>
          <w:p w14:paraId="629F0B53" w14:textId="77777777" w:rsidR="00B46EE3" w:rsidRPr="00BC6D6A" w:rsidRDefault="00B46EE3" w:rsidP="00BC6D6A">
            <w:pPr>
              <w:jc w:val="center"/>
              <w:rPr>
                <w:rFonts w:cs="Times New Roman"/>
              </w:rPr>
            </w:pPr>
          </w:p>
          <w:p w14:paraId="0A825462" w14:textId="77777777" w:rsidR="00B46EE3" w:rsidRPr="00BC6D6A" w:rsidRDefault="00000000" w:rsidP="00BC6D6A">
            <w:pPr>
              <w:jc w:val="center"/>
              <w:rPr>
                <w:rFonts w:cs="Times New Roman"/>
              </w:rPr>
            </w:pPr>
            <w:r w:rsidRPr="00BC6D6A">
              <w:rPr>
                <w:rFonts w:cs="Times New Roman"/>
              </w:rPr>
              <w:t>36</w:t>
            </w:r>
          </w:p>
          <w:p w14:paraId="44EBF64A" w14:textId="77777777" w:rsidR="00B46EE3" w:rsidRPr="00BC6D6A" w:rsidRDefault="00000000" w:rsidP="00BC6D6A">
            <w:pPr>
              <w:jc w:val="center"/>
              <w:rPr>
                <w:rFonts w:cs="Times New Roman"/>
              </w:rPr>
            </w:pPr>
            <w:r w:rsidRPr="00BC6D6A">
              <w:rPr>
                <w:rFonts w:cs="Times New Roman"/>
              </w:rPr>
              <w:t>15</w:t>
            </w:r>
          </w:p>
          <w:p w14:paraId="2B5441B0" w14:textId="77777777" w:rsidR="00B46EE3" w:rsidRPr="00BC6D6A" w:rsidRDefault="00000000" w:rsidP="00BC6D6A">
            <w:pPr>
              <w:jc w:val="center"/>
              <w:rPr>
                <w:rFonts w:cs="Times New Roman"/>
              </w:rPr>
            </w:pPr>
            <w:r w:rsidRPr="00BC6D6A">
              <w:rPr>
                <w:rFonts w:cs="Times New Roman"/>
              </w:rPr>
              <w:t>22</w:t>
            </w:r>
          </w:p>
          <w:p w14:paraId="5A68B761" w14:textId="77777777" w:rsidR="00B46EE3" w:rsidRPr="00BC6D6A" w:rsidRDefault="00000000" w:rsidP="00BC6D6A">
            <w:pPr>
              <w:jc w:val="center"/>
              <w:rPr>
                <w:rFonts w:cs="Times New Roman"/>
              </w:rPr>
            </w:pPr>
            <w:r w:rsidRPr="00BC6D6A">
              <w:rPr>
                <w:rFonts w:cs="Times New Roman"/>
              </w:rPr>
              <w:t>8</w:t>
            </w:r>
          </w:p>
          <w:p w14:paraId="7E4FF826" w14:textId="77777777" w:rsidR="00B46EE3" w:rsidRPr="00BC6D6A" w:rsidRDefault="00000000" w:rsidP="00BC6D6A">
            <w:pPr>
              <w:jc w:val="center"/>
              <w:rPr>
                <w:rFonts w:cs="Times New Roman"/>
              </w:rPr>
            </w:pPr>
            <w:r w:rsidRPr="00BC6D6A">
              <w:rPr>
                <w:rFonts w:cs="Times New Roman"/>
              </w:rPr>
              <w:t>13</w:t>
            </w:r>
          </w:p>
        </w:tc>
        <w:tc>
          <w:tcPr>
            <w:tcW w:w="2175" w:type="dxa"/>
            <w:tcBorders>
              <w:left w:val="nil"/>
              <w:right w:val="nil"/>
            </w:tcBorders>
          </w:tcPr>
          <w:p w14:paraId="5CEFC9EE" w14:textId="77777777" w:rsidR="00B46EE3" w:rsidRPr="00BC6D6A" w:rsidRDefault="00B46EE3" w:rsidP="00BC6D6A">
            <w:pPr>
              <w:jc w:val="center"/>
              <w:rPr>
                <w:rFonts w:cs="Times New Roman"/>
              </w:rPr>
            </w:pPr>
          </w:p>
          <w:p w14:paraId="7622A0AD" w14:textId="77777777" w:rsidR="00B46EE3" w:rsidRPr="00BC6D6A" w:rsidRDefault="00000000" w:rsidP="00BC6D6A">
            <w:pPr>
              <w:jc w:val="center"/>
              <w:rPr>
                <w:rFonts w:cs="Times New Roman"/>
              </w:rPr>
            </w:pPr>
            <w:r w:rsidRPr="00BC6D6A">
              <w:rPr>
                <w:rFonts w:cs="Times New Roman"/>
              </w:rPr>
              <w:t>38,30</w:t>
            </w:r>
          </w:p>
          <w:p w14:paraId="297AF84C" w14:textId="77777777" w:rsidR="00B46EE3" w:rsidRPr="00BC6D6A" w:rsidRDefault="00000000" w:rsidP="00BC6D6A">
            <w:pPr>
              <w:jc w:val="center"/>
              <w:rPr>
                <w:rFonts w:cs="Times New Roman"/>
              </w:rPr>
            </w:pPr>
            <w:r w:rsidRPr="00BC6D6A">
              <w:rPr>
                <w:rFonts w:cs="Times New Roman"/>
              </w:rPr>
              <w:t>19,56</w:t>
            </w:r>
          </w:p>
          <w:p w14:paraId="6D94415D" w14:textId="77777777" w:rsidR="00B46EE3" w:rsidRPr="00BC6D6A" w:rsidRDefault="00000000" w:rsidP="00BC6D6A">
            <w:pPr>
              <w:jc w:val="center"/>
              <w:rPr>
                <w:rFonts w:cs="Times New Roman"/>
              </w:rPr>
            </w:pPr>
            <w:r w:rsidRPr="00BC6D6A">
              <w:rPr>
                <w:rFonts w:cs="Times New Roman"/>
              </w:rPr>
              <w:t>23,40</w:t>
            </w:r>
          </w:p>
          <w:p w14:paraId="6B9C911B" w14:textId="77777777" w:rsidR="00B46EE3" w:rsidRPr="00BC6D6A" w:rsidRDefault="00000000" w:rsidP="00BC6D6A">
            <w:pPr>
              <w:jc w:val="center"/>
              <w:rPr>
                <w:rFonts w:cs="Times New Roman"/>
              </w:rPr>
            </w:pPr>
            <w:r w:rsidRPr="00BC6D6A">
              <w:rPr>
                <w:rFonts w:cs="Times New Roman"/>
              </w:rPr>
              <w:t>8,51</w:t>
            </w:r>
          </w:p>
          <w:p w14:paraId="7077B09E" w14:textId="77777777" w:rsidR="00B46EE3" w:rsidRPr="00BC6D6A" w:rsidRDefault="00000000" w:rsidP="00BC6D6A">
            <w:pPr>
              <w:jc w:val="center"/>
              <w:rPr>
                <w:rFonts w:cs="Times New Roman"/>
              </w:rPr>
            </w:pPr>
            <w:r w:rsidRPr="00BC6D6A">
              <w:rPr>
                <w:rFonts w:cs="Times New Roman"/>
              </w:rPr>
              <w:t>13,83</w:t>
            </w:r>
          </w:p>
        </w:tc>
      </w:tr>
      <w:tr w:rsidR="00B46EE3" w:rsidRPr="00BC6D6A" w14:paraId="160AB007" w14:textId="77777777" w:rsidTr="00E255CE">
        <w:trPr>
          <w:trHeight w:val="274"/>
          <w:jc w:val="center"/>
        </w:trPr>
        <w:tc>
          <w:tcPr>
            <w:tcW w:w="2413" w:type="dxa"/>
            <w:tcBorders>
              <w:left w:val="nil"/>
              <w:bottom w:val="single" w:sz="4" w:space="0" w:color="000000"/>
              <w:right w:val="nil"/>
            </w:tcBorders>
          </w:tcPr>
          <w:p w14:paraId="60DD936B" w14:textId="77777777" w:rsidR="00B46EE3" w:rsidRPr="00E255CE" w:rsidRDefault="00000000" w:rsidP="00BC6D6A">
            <w:pPr>
              <w:rPr>
                <w:rFonts w:cs="Times New Roman"/>
                <w:b/>
                <w:bCs/>
              </w:rPr>
            </w:pPr>
            <w:r w:rsidRPr="00E255CE">
              <w:rPr>
                <w:rFonts w:cs="Times New Roman"/>
                <w:b/>
                <w:bCs/>
              </w:rPr>
              <w:t>Alamat</w:t>
            </w:r>
          </w:p>
          <w:p w14:paraId="2F6D63B6" w14:textId="674BABBA" w:rsidR="00B46EE3" w:rsidRPr="00BC6D6A" w:rsidRDefault="00E255CE" w:rsidP="00BC6D6A">
            <w:pPr>
              <w:rPr>
                <w:rFonts w:cs="Times New Roman"/>
              </w:rPr>
            </w:pPr>
            <w:r>
              <w:rPr>
                <w:rFonts w:cs="Times New Roman"/>
              </w:rPr>
              <w:t xml:space="preserve"> </w:t>
            </w:r>
            <w:r w:rsidRPr="00BC6D6A">
              <w:rPr>
                <w:rFonts w:cs="Times New Roman"/>
              </w:rPr>
              <w:t xml:space="preserve">Kota </w:t>
            </w:r>
            <w:proofErr w:type="spellStart"/>
            <w:r w:rsidRPr="00BC6D6A">
              <w:rPr>
                <w:rFonts w:cs="Times New Roman"/>
              </w:rPr>
              <w:t>Tasikmalaya</w:t>
            </w:r>
            <w:proofErr w:type="spellEnd"/>
          </w:p>
          <w:p w14:paraId="12970FEB" w14:textId="15B78FC3" w:rsidR="00B46EE3" w:rsidRPr="00BC6D6A" w:rsidRDefault="00E255CE" w:rsidP="00BC6D6A">
            <w:pPr>
              <w:rPr>
                <w:rFonts w:cs="Times New Roman"/>
              </w:rPr>
            </w:pPr>
            <w:r>
              <w:rPr>
                <w:rFonts w:cs="Times New Roman"/>
              </w:rPr>
              <w:t xml:space="preserve"> </w:t>
            </w:r>
            <w:proofErr w:type="spellStart"/>
            <w:r w:rsidRPr="00BC6D6A">
              <w:rPr>
                <w:rFonts w:cs="Times New Roman"/>
              </w:rPr>
              <w:t>Kab</w:t>
            </w:r>
            <w:proofErr w:type="spellEnd"/>
            <w:r w:rsidRPr="00BC6D6A">
              <w:rPr>
                <w:rFonts w:cs="Times New Roman"/>
              </w:rPr>
              <w:t xml:space="preserve">. </w:t>
            </w:r>
            <w:proofErr w:type="spellStart"/>
            <w:r w:rsidRPr="00BC6D6A">
              <w:rPr>
                <w:rFonts w:cs="Times New Roman"/>
              </w:rPr>
              <w:t>Tasikmalaya</w:t>
            </w:r>
            <w:proofErr w:type="spellEnd"/>
          </w:p>
          <w:p w14:paraId="484A52D5" w14:textId="758C7268" w:rsidR="00B46EE3" w:rsidRPr="00BC6D6A" w:rsidRDefault="00E255CE" w:rsidP="00BC6D6A">
            <w:pPr>
              <w:rPr>
                <w:rFonts w:cs="Times New Roman"/>
              </w:rPr>
            </w:pPr>
            <w:r>
              <w:rPr>
                <w:rFonts w:cs="Times New Roman"/>
              </w:rPr>
              <w:t xml:space="preserve"> </w:t>
            </w:r>
            <w:r w:rsidRPr="00BC6D6A">
              <w:rPr>
                <w:rFonts w:cs="Times New Roman"/>
              </w:rPr>
              <w:t xml:space="preserve">Luar </w:t>
            </w:r>
            <w:proofErr w:type="spellStart"/>
            <w:r w:rsidRPr="00BC6D6A">
              <w:rPr>
                <w:rFonts w:cs="Times New Roman"/>
              </w:rPr>
              <w:t>Tasikmalaya</w:t>
            </w:r>
            <w:proofErr w:type="spellEnd"/>
          </w:p>
        </w:tc>
        <w:tc>
          <w:tcPr>
            <w:tcW w:w="912" w:type="dxa"/>
            <w:tcBorders>
              <w:left w:val="nil"/>
              <w:bottom w:val="single" w:sz="4" w:space="0" w:color="000000"/>
              <w:right w:val="nil"/>
            </w:tcBorders>
          </w:tcPr>
          <w:p w14:paraId="66589283" w14:textId="77777777" w:rsidR="00B46EE3" w:rsidRPr="00BC6D6A" w:rsidRDefault="00B46EE3" w:rsidP="00BC6D6A">
            <w:pPr>
              <w:jc w:val="center"/>
              <w:rPr>
                <w:rFonts w:cs="Times New Roman"/>
              </w:rPr>
            </w:pPr>
          </w:p>
          <w:p w14:paraId="6EF9A353" w14:textId="77777777" w:rsidR="00B46EE3" w:rsidRPr="00BC6D6A" w:rsidRDefault="00000000" w:rsidP="00BC6D6A">
            <w:pPr>
              <w:jc w:val="center"/>
              <w:rPr>
                <w:rFonts w:cs="Times New Roman"/>
              </w:rPr>
            </w:pPr>
            <w:r w:rsidRPr="00BC6D6A">
              <w:rPr>
                <w:rFonts w:cs="Times New Roman"/>
              </w:rPr>
              <w:t>48</w:t>
            </w:r>
          </w:p>
          <w:p w14:paraId="79FB8B07" w14:textId="77777777" w:rsidR="00B46EE3" w:rsidRPr="00BC6D6A" w:rsidRDefault="00000000" w:rsidP="00BC6D6A">
            <w:pPr>
              <w:jc w:val="center"/>
              <w:rPr>
                <w:rFonts w:cs="Times New Roman"/>
              </w:rPr>
            </w:pPr>
            <w:r w:rsidRPr="00BC6D6A">
              <w:rPr>
                <w:rFonts w:cs="Times New Roman"/>
              </w:rPr>
              <w:t>33</w:t>
            </w:r>
          </w:p>
          <w:p w14:paraId="421190B1" w14:textId="77777777" w:rsidR="00B46EE3" w:rsidRPr="00BC6D6A" w:rsidRDefault="00000000" w:rsidP="00BC6D6A">
            <w:pPr>
              <w:jc w:val="center"/>
              <w:rPr>
                <w:rFonts w:cs="Times New Roman"/>
              </w:rPr>
            </w:pPr>
            <w:r w:rsidRPr="00BC6D6A">
              <w:rPr>
                <w:rFonts w:cs="Times New Roman"/>
              </w:rPr>
              <w:t>13</w:t>
            </w:r>
          </w:p>
        </w:tc>
        <w:tc>
          <w:tcPr>
            <w:tcW w:w="2175" w:type="dxa"/>
            <w:tcBorders>
              <w:left w:val="nil"/>
              <w:bottom w:val="single" w:sz="4" w:space="0" w:color="000000"/>
              <w:right w:val="nil"/>
            </w:tcBorders>
          </w:tcPr>
          <w:p w14:paraId="36E8A799" w14:textId="77777777" w:rsidR="00B46EE3" w:rsidRPr="00BC6D6A" w:rsidRDefault="00B46EE3" w:rsidP="00BC6D6A">
            <w:pPr>
              <w:jc w:val="center"/>
              <w:rPr>
                <w:rFonts w:cs="Times New Roman"/>
              </w:rPr>
            </w:pPr>
          </w:p>
          <w:p w14:paraId="1672757F" w14:textId="77777777" w:rsidR="00B46EE3" w:rsidRPr="00BC6D6A" w:rsidRDefault="00000000" w:rsidP="00BC6D6A">
            <w:pPr>
              <w:jc w:val="center"/>
              <w:rPr>
                <w:rFonts w:cs="Times New Roman"/>
              </w:rPr>
            </w:pPr>
            <w:r w:rsidRPr="00BC6D6A">
              <w:rPr>
                <w:rFonts w:cs="Times New Roman"/>
              </w:rPr>
              <w:t>51,06</w:t>
            </w:r>
          </w:p>
          <w:p w14:paraId="4012459B" w14:textId="77777777" w:rsidR="00B46EE3" w:rsidRPr="00BC6D6A" w:rsidRDefault="00000000" w:rsidP="00BC6D6A">
            <w:pPr>
              <w:jc w:val="center"/>
              <w:rPr>
                <w:rFonts w:cs="Times New Roman"/>
              </w:rPr>
            </w:pPr>
            <w:r w:rsidRPr="00BC6D6A">
              <w:rPr>
                <w:rFonts w:cs="Times New Roman"/>
              </w:rPr>
              <w:t>35,11</w:t>
            </w:r>
          </w:p>
          <w:p w14:paraId="18051531" w14:textId="77777777" w:rsidR="00B46EE3" w:rsidRPr="00BC6D6A" w:rsidRDefault="00000000" w:rsidP="00BC6D6A">
            <w:pPr>
              <w:jc w:val="center"/>
              <w:rPr>
                <w:rFonts w:cs="Times New Roman"/>
              </w:rPr>
            </w:pPr>
            <w:r w:rsidRPr="00BC6D6A">
              <w:rPr>
                <w:rFonts w:cs="Times New Roman"/>
              </w:rPr>
              <w:t>13,83</w:t>
            </w:r>
          </w:p>
        </w:tc>
      </w:tr>
      <w:tr w:rsidR="00B46EE3" w:rsidRPr="00BC6D6A" w14:paraId="0A259644" w14:textId="77777777" w:rsidTr="00E255CE">
        <w:trPr>
          <w:trHeight w:val="274"/>
          <w:jc w:val="center"/>
        </w:trPr>
        <w:tc>
          <w:tcPr>
            <w:tcW w:w="2413" w:type="dxa"/>
            <w:tcBorders>
              <w:left w:val="nil"/>
              <w:bottom w:val="nil"/>
              <w:right w:val="nil"/>
            </w:tcBorders>
          </w:tcPr>
          <w:p w14:paraId="330FAB00" w14:textId="77777777" w:rsidR="00B46EE3" w:rsidRPr="00E255CE" w:rsidRDefault="00000000" w:rsidP="00BC6D6A">
            <w:pPr>
              <w:rPr>
                <w:rFonts w:cs="Times New Roman"/>
                <w:b/>
                <w:bCs/>
              </w:rPr>
            </w:pPr>
            <w:r w:rsidRPr="00E255CE">
              <w:rPr>
                <w:rFonts w:cs="Times New Roman"/>
                <w:b/>
                <w:bCs/>
              </w:rPr>
              <w:t xml:space="preserve">Jenis </w:t>
            </w:r>
            <w:proofErr w:type="spellStart"/>
            <w:r w:rsidRPr="00E255CE">
              <w:rPr>
                <w:rFonts w:cs="Times New Roman"/>
                <w:b/>
                <w:bCs/>
              </w:rPr>
              <w:t>Operasi</w:t>
            </w:r>
            <w:proofErr w:type="spellEnd"/>
          </w:p>
        </w:tc>
        <w:tc>
          <w:tcPr>
            <w:tcW w:w="912" w:type="dxa"/>
            <w:tcBorders>
              <w:left w:val="nil"/>
              <w:bottom w:val="nil"/>
              <w:right w:val="nil"/>
            </w:tcBorders>
          </w:tcPr>
          <w:p w14:paraId="7B1FEA26" w14:textId="77777777" w:rsidR="00B46EE3" w:rsidRPr="00BC6D6A" w:rsidRDefault="00B46EE3" w:rsidP="00BC6D6A">
            <w:pPr>
              <w:jc w:val="center"/>
              <w:rPr>
                <w:rFonts w:cs="Times New Roman"/>
              </w:rPr>
            </w:pPr>
          </w:p>
        </w:tc>
        <w:tc>
          <w:tcPr>
            <w:tcW w:w="2175" w:type="dxa"/>
            <w:tcBorders>
              <w:left w:val="nil"/>
              <w:bottom w:val="nil"/>
              <w:right w:val="nil"/>
            </w:tcBorders>
          </w:tcPr>
          <w:p w14:paraId="1266BB21" w14:textId="77777777" w:rsidR="00B46EE3" w:rsidRPr="00BC6D6A" w:rsidRDefault="00B46EE3" w:rsidP="00BC6D6A">
            <w:pPr>
              <w:jc w:val="center"/>
              <w:rPr>
                <w:rFonts w:cs="Times New Roman"/>
              </w:rPr>
            </w:pPr>
          </w:p>
        </w:tc>
      </w:tr>
      <w:tr w:rsidR="00B46EE3" w:rsidRPr="00BC6D6A" w14:paraId="193295B5" w14:textId="77777777" w:rsidTr="00E255CE">
        <w:trPr>
          <w:trHeight w:val="251"/>
          <w:jc w:val="center"/>
        </w:trPr>
        <w:tc>
          <w:tcPr>
            <w:tcW w:w="2413" w:type="dxa"/>
            <w:tcBorders>
              <w:top w:val="nil"/>
              <w:left w:val="nil"/>
              <w:bottom w:val="nil"/>
              <w:right w:val="nil"/>
            </w:tcBorders>
          </w:tcPr>
          <w:p w14:paraId="5F0267CC" w14:textId="37E3A92E" w:rsidR="00B46EE3" w:rsidRPr="00BC6D6A" w:rsidRDefault="00E255CE" w:rsidP="00BC6D6A">
            <w:pPr>
              <w:rPr>
                <w:rFonts w:cs="Times New Roman"/>
              </w:rPr>
            </w:pPr>
            <w:r>
              <w:rPr>
                <w:rFonts w:cs="Times New Roman"/>
              </w:rPr>
              <w:t xml:space="preserve"> </w:t>
            </w:r>
            <w:proofErr w:type="spellStart"/>
            <w:r w:rsidRPr="00BC6D6A">
              <w:rPr>
                <w:rFonts w:cs="Times New Roman"/>
              </w:rPr>
              <w:t>Appendictomy</w:t>
            </w:r>
            <w:proofErr w:type="spellEnd"/>
          </w:p>
        </w:tc>
        <w:tc>
          <w:tcPr>
            <w:tcW w:w="912" w:type="dxa"/>
            <w:tcBorders>
              <w:top w:val="nil"/>
              <w:left w:val="nil"/>
              <w:bottom w:val="nil"/>
              <w:right w:val="nil"/>
            </w:tcBorders>
          </w:tcPr>
          <w:p w14:paraId="7A54E6AE" w14:textId="77777777" w:rsidR="00B46EE3" w:rsidRPr="00BC6D6A" w:rsidRDefault="00000000" w:rsidP="00BC6D6A">
            <w:pPr>
              <w:jc w:val="center"/>
              <w:rPr>
                <w:rFonts w:cs="Times New Roman"/>
              </w:rPr>
            </w:pPr>
            <w:r w:rsidRPr="00BC6D6A">
              <w:rPr>
                <w:rFonts w:cs="Times New Roman"/>
              </w:rPr>
              <w:t>53</w:t>
            </w:r>
          </w:p>
        </w:tc>
        <w:tc>
          <w:tcPr>
            <w:tcW w:w="2175" w:type="dxa"/>
            <w:tcBorders>
              <w:top w:val="nil"/>
              <w:left w:val="nil"/>
              <w:bottom w:val="nil"/>
              <w:right w:val="nil"/>
            </w:tcBorders>
          </w:tcPr>
          <w:p w14:paraId="26229ECB" w14:textId="77777777" w:rsidR="00B46EE3" w:rsidRPr="00BC6D6A" w:rsidRDefault="00000000" w:rsidP="00BC6D6A">
            <w:pPr>
              <w:jc w:val="center"/>
              <w:rPr>
                <w:rFonts w:cs="Times New Roman"/>
              </w:rPr>
            </w:pPr>
            <w:r w:rsidRPr="00BC6D6A">
              <w:rPr>
                <w:rFonts w:cs="Times New Roman"/>
              </w:rPr>
              <w:t>56,38</w:t>
            </w:r>
          </w:p>
        </w:tc>
      </w:tr>
      <w:tr w:rsidR="00B46EE3" w:rsidRPr="00BC6D6A" w14:paraId="54061669" w14:textId="77777777" w:rsidTr="00E255CE">
        <w:trPr>
          <w:trHeight w:val="274"/>
          <w:jc w:val="center"/>
        </w:trPr>
        <w:tc>
          <w:tcPr>
            <w:tcW w:w="2413" w:type="dxa"/>
            <w:tcBorders>
              <w:top w:val="nil"/>
              <w:left w:val="nil"/>
              <w:bottom w:val="nil"/>
              <w:right w:val="nil"/>
            </w:tcBorders>
          </w:tcPr>
          <w:p w14:paraId="44A610ED" w14:textId="6ABC18C4" w:rsidR="00B46EE3" w:rsidRPr="00BC6D6A" w:rsidRDefault="00E255CE" w:rsidP="00BC6D6A">
            <w:pPr>
              <w:rPr>
                <w:rFonts w:cs="Times New Roman"/>
              </w:rPr>
            </w:pPr>
            <w:r>
              <w:rPr>
                <w:rFonts w:cs="Times New Roman"/>
              </w:rPr>
              <w:t xml:space="preserve"> </w:t>
            </w:r>
            <w:r w:rsidRPr="00BC6D6A">
              <w:rPr>
                <w:rFonts w:cs="Times New Roman"/>
              </w:rPr>
              <w:t>Cholecystectomy</w:t>
            </w:r>
          </w:p>
        </w:tc>
        <w:tc>
          <w:tcPr>
            <w:tcW w:w="912" w:type="dxa"/>
            <w:tcBorders>
              <w:top w:val="nil"/>
              <w:left w:val="nil"/>
              <w:bottom w:val="nil"/>
              <w:right w:val="nil"/>
            </w:tcBorders>
          </w:tcPr>
          <w:p w14:paraId="31E43B93" w14:textId="77777777" w:rsidR="00B46EE3" w:rsidRPr="00BC6D6A" w:rsidRDefault="00000000" w:rsidP="00BC6D6A">
            <w:pPr>
              <w:jc w:val="center"/>
              <w:rPr>
                <w:rFonts w:cs="Times New Roman"/>
              </w:rPr>
            </w:pPr>
            <w:r w:rsidRPr="00BC6D6A">
              <w:rPr>
                <w:rFonts w:cs="Times New Roman"/>
              </w:rPr>
              <w:t>24</w:t>
            </w:r>
          </w:p>
        </w:tc>
        <w:tc>
          <w:tcPr>
            <w:tcW w:w="2175" w:type="dxa"/>
            <w:tcBorders>
              <w:top w:val="nil"/>
              <w:left w:val="nil"/>
              <w:bottom w:val="nil"/>
              <w:right w:val="nil"/>
            </w:tcBorders>
          </w:tcPr>
          <w:p w14:paraId="1BCE4A53" w14:textId="77777777" w:rsidR="00B46EE3" w:rsidRPr="00BC6D6A" w:rsidRDefault="00000000" w:rsidP="00BC6D6A">
            <w:pPr>
              <w:jc w:val="center"/>
              <w:rPr>
                <w:rFonts w:cs="Times New Roman"/>
              </w:rPr>
            </w:pPr>
            <w:r w:rsidRPr="00BC6D6A">
              <w:rPr>
                <w:rFonts w:cs="Times New Roman"/>
              </w:rPr>
              <w:t>25,53</w:t>
            </w:r>
          </w:p>
        </w:tc>
      </w:tr>
      <w:tr w:rsidR="00B46EE3" w:rsidRPr="00BC6D6A" w14:paraId="0EDF20CC" w14:textId="77777777" w:rsidTr="00E255CE">
        <w:trPr>
          <w:trHeight w:val="274"/>
          <w:jc w:val="center"/>
        </w:trPr>
        <w:tc>
          <w:tcPr>
            <w:tcW w:w="2413" w:type="dxa"/>
            <w:tcBorders>
              <w:top w:val="nil"/>
              <w:left w:val="nil"/>
              <w:right w:val="nil"/>
            </w:tcBorders>
          </w:tcPr>
          <w:p w14:paraId="0896A632" w14:textId="53390E09" w:rsidR="00B46EE3" w:rsidRPr="00BC6D6A" w:rsidRDefault="00E255CE" w:rsidP="00BC6D6A">
            <w:pPr>
              <w:rPr>
                <w:rFonts w:cs="Times New Roman"/>
              </w:rPr>
            </w:pPr>
            <w:r>
              <w:rPr>
                <w:rFonts w:cs="Times New Roman"/>
              </w:rPr>
              <w:t xml:space="preserve"> </w:t>
            </w:r>
            <w:r w:rsidRPr="00BC6D6A">
              <w:rPr>
                <w:rFonts w:cs="Times New Roman"/>
              </w:rPr>
              <w:t>Herniorrhaphy</w:t>
            </w:r>
          </w:p>
        </w:tc>
        <w:tc>
          <w:tcPr>
            <w:tcW w:w="912" w:type="dxa"/>
            <w:tcBorders>
              <w:top w:val="nil"/>
              <w:left w:val="nil"/>
              <w:right w:val="nil"/>
            </w:tcBorders>
          </w:tcPr>
          <w:p w14:paraId="16727CCC" w14:textId="77777777" w:rsidR="00B46EE3" w:rsidRPr="00BC6D6A" w:rsidRDefault="00000000" w:rsidP="00BC6D6A">
            <w:pPr>
              <w:jc w:val="center"/>
              <w:rPr>
                <w:rFonts w:cs="Times New Roman"/>
              </w:rPr>
            </w:pPr>
            <w:r w:rsidRPr="00BC6D6A">
              <w:rPr>
                <w:rFonts w:cs="Times New Roman"/>
              </w:rPr>
              <w:t>17</w:t>
            </w:r>
          </w:p>
        </w:tc>
        <w:tc>
          <w:tcPr>
            <w:tcW w:w="2175" w:type="dxa"/>
            <w:tcBorders>
              <w:top w:val="nil"/>
              <w:left w:val="nil"/>
              <w:right w:val="nil"/>
            </w:tcBorders>
          </w:tcPr>
          <w:p w14:paraId="412A4D2A" w14:textId="77777777" w:rsidR="00B46EE3" w:rsidRPr="00BC6D6A" w:rsidRDefault="00000000" w:rsidP="00BC6D6A">
            <w:pPr>
              <w:jc w:val="center"/>
              <w:rPr>
                <w:rFonts w:cs="Times New Roman"/>
              </w:rPr>
            </w:pPr>
            <w:r w:rsidRPr="00BC6D6A">
              <w:rPr>
                <w:rFonts w:cs="Times New Roman"/>
              </w:rPr>
              <w:t>18,09</w:t>
            </w:r>
          </w:p>
        </w:tc>
      </w:tr>
      <w:tr w:rsidR="00B46EE3" w:rsidRPr="00BC6D6A" w14:paraId="04153298" w14:textId="77777777" w:rsidTr="00E255CE">
        <w:trPr>
          <w:trHeight w:val="274"/>
          <w:jc w:val="center"/>
        </w:trPr>
        <w:tc>
          <w:tcPr>
            <w:tcW w:w="2413" w:type="dxa"/>
            <w:tcBorders>
              <w:left w:val="nil"/>
              <w:right w:val="nil"/>
            </w:tcBorders>
          </w:tcPr>
          <w:p w14:paraId="20F9F21A" w14:textId="77777777" w:rsidR="00B46EE3" w:rsidRPr="00E255CE" w:rsidRDefault="00000000" w:rsidP="00BC6D6A">
            <w:pPr>
              <w:rPr>
                <w:rFonts w:cs="Times New Roman"/>
                <w:b/>
                <w:bCs/>
              </w:rPr>
            </w:pPr>
            <w:r w:rsidRPr="00E255CE">
              <w:rPr>
                <w:rFonts w:cs="Times New Roman"/>
                <w:b/>
                <w:bCs/>
              </w:rPr>
              <w:t xml:space="preserve">Lama </w:t>
            </w:r>
            <w:proofErr w:type="spellStart"/>
            <w:r w:rsidRPr="00E255CE">
              <w:rPr>
                <w:rFonts w:cs="Times New Roman"/>
                <w:b/>
                <w:bCs/>
              </w:rPr>
              <w:t>Perawatan</w:t>
            </w:r>
            <w:proofErr w:type="spellEnd"/>
          </w:p>
          <w:p w14:paraId="2FC98791" w14:textId="4B96ECF7" w:rsidR="00B46EE3" w:rsidRPr="00BC6D6A" w:rsidRDefault="00000000" w:rsidP="00BC6D6A">
            <w:pPr>
              <w:rPr>
                <w:rFonts w:cs="Times New Roman"/>
              </w:rPr>
            </w:pPr>
            <w:sdt>
              <w:sdtPr>
                <w:rPr>
                  <w:rFonts w:cs="Times New Roman"/>
                </w:rPr>
                <w:tag w:val="goog_rdk_1"/>
                <w:id w:val="-1885324362"/>
              </w:sdtPr>
              <w:sdtContent>
                <w:r w:rsidR="00E255CE">
                  <w:rPr>
                    <w:rFonts w:eastAsia="Gungsuh" w:cs="Times New Roman"/>
                  </w:rPr>
                  <w:t xml:space="preserve"> </w:t>
                </w:r>
                <w:r w:rsidRPr="00BC6D6A">
                  <w:rPr>
                    <w:rFonts w:eastAsia="Gungsuh" w:cs="Times New Roman"/>
                  </w:rPr>
                  <w:t xml:space="preserve">≤ 3 </w:t>
                </w:r>
                <w:proofErr w:type="spellStart"/>
                <w:r w:rsidRPr="00BC6D6A">
                  <w:rPr>
                    <w:rFonts w:eastAsia="Gungsuh" w:cs="Times New Roman"/>
                  </w:rPr>
                  <w:t>hari</w:t>
                </w:r>
                <w:proofErr w:type="spellEnd"/>
              </w:sdtContent>
            </w:sdt>
          </w:p>
          <w:p w14:paraId="6162A163" w14:textId="4A9D4DAE" w:rsidR="00B46EE3" w:rsidRPr="00BC6D6A" w:rsidRDefault="00E255CE" w:rsidP="00BC6D6A">
            <w:pPr>
              <w:rPr>
                <w:rFonts w:cs="Times New Roman"/>
              </w:rPr>
            </w:pPr>
            <w:r>
              <w:rPr>
                <w:rFonts w:cs="Times New Roman"/>
              </w:rPr>
              <w:t xml:space="preserve"> </w:t>
            </w:r>
            <w:r w:rsidRPr="00BC6D6A">
              <w:rPr>
                <w:rFonts w:cs="Times New Roman"/>
              </w:rPr>
              <w:t xml:space="preserve">&gt;3 </w:t>
            </w:r>
            <w:proofErr w:type="spellStart"/>
            <w:r w:rsidRPr="00BC6D6A">
              <w:rPr>
                <w:rFonts w:cs="Times New Roman"/>
              </w:rPr>
              <w:t>hari</w:t>
            </w:r>
            <w:proofErr w:type="spellEnd"/>
          </w:p>
        </w:tc>
        <w:tc>
          <w:tcPr>
            <w:tcW w:w="912" w:type="dxa"/>
            <w:tcBorders>
              <w:left w:val="nil"/>
              <w:right w:val="nil"/>
            </w:tcBorders>
          </w:tcPr>
          <w:p w14:paraId="1FD63965" w14:textId="77777777" w:rsidR="00B46EE3" w:rsidRPr="00BC6D6A" w:rsidRDefault="00B46EE3" w:rsidP="00BC6D6A">
            <w:pPr>
              <w:jc w:val="center"/>
              <w:rPr>
                <w:rFonts w:cs="Times New Roman"/>
              </w:rPr>
            </w:pPr>
          </w:p>
          <w:p w14:paraId="786496C7" w14:textId="77777777" w:rsidR="00B46EE3" w:rsidRPr="00BC6D6A" w:rsidRDefault="00000000" w:rsidP="00BC6D6A">
            <w:pPr>
              <w:jc w:val="center"/>
              <w:rPr>
                <w:rFonts w:cs="Times New Roman"/>
              </w:rPr>
            </w:pPr>
            <w:r w:rsidRPr="00BC6D6A">
              <w:rPr>
                <w:rFonts w:cs="Times New Roman"/>
              </w:rPr>
              <w:t>59</w:t>
            </w:r>
          </w:p>
          <w:p w14:paraId="45F94E3F" w14:textId="77777777" w:rsidR="00B46EE3" w:rsidRPr="00BC6D6A" w:rsidRDefault="00000000" w:rsidP="00BC6D6A">
            <w:pPr>
              <w:jc w:val="center"/>
              <w:rPr>
                <w:rFonts w:cs="Times New Roman"/>
              </w:rPr>
            </w:pPr>
            <w:r w:rsidRPr="00BC6D6A">
              <w:rPr>
                <w:rFonts w:cs="Times New Roman"/>
              </w:rPr>
              <w:t>35</w:t>
            </w:r>
          </w:p>
        </w:tc>
        <w:tc>
          <w:tcPr>
            <w:tcW w:w="2175" w:type="dxa"/>
            <w:tcBorders>
              <w:left w:val="nil"/>
              <w:right w:val="nil"/>
            </w:tcBorders>
          </w:tcPr>
          <w:p w14:paraId="083BADC4" w14:textId="77777777" w:rsidR="00B46EE3" w:rsidRPr="00BC6D6A" w:rsidRDefault="00B46EE3" w:rsidP="00BC6D6A">
            <w:pPr>
              <w:jc w:val="center"/>
              <w:rPr>
                <w:rFonts w:cs="Times New Roman"/>
              </w:rPr>
            </w:pPr>
          </w:p>
          <w:p w14:paraId="7485FABD" w14:textId="77777777" w:rsidR="00B46EE3" w:rsidRPr="00BC6D6A" w:rsidRDefault="00000000" w:rsidP="00BC6D6A">
            <w:pPr>
              <w:jc w:val="center"/>
              <w:rPr>
                <w:rFonts w:cs="Times New Roman"/>
              </w:rPr>
            </w:pPr>
            <w:r w:rsidRPr="00BC6D6A">
              <w:rPr>
                <w:rFonts w:cs="Times New Roman"/>
              </w:rPr>
              <w:t>67,77</w:t>
            </w:r>
          </w:p>
          <w:p w14:paraId="52F109E3" w14:textId="77777777" w:rsidR="00B46EE3" w:rsidRPr="00BC6D6A" w:rsidRDefault="00000000" w:rsidP="00BC6D6A">
            <w:pPr>
              <w:jc w:val="center"/>
              <w:rPr>
                <w:rFonts w:cs="Times New Roman"/>
              </w:rPr>
            </w:pPr>
            <w:r w:rsidRPr="00BC6D6A">
              <w:rPr>
                <w:rFonts w:cs="Times New Roman"/>
              </w:rPr>
              <w:t>37,23</w:t>
            </w:r>
          </w:p>
        </w:tc>
      </w:tr>
    </w:tbl>
    <w:p w14:paraId="62CC3CCF" w14:textId="431D7CC3" w:rsidR="00B46EE3" w:rsidRPr="00BC6D6A" w:rsidRDefault="00B46EE3" w:rsidP="00BC6D6A">
      <w:pPr>
        <w:spacing w:line="360" w:lineRule="auto"/>
        <w:jc w:val="both"/>
        <w:rPr>
          <w:rFonts w:cs="Times New Roman"/>
          <w:sz w:val="22"/>
          <w:szCs w:val="22"/>
        </w:rPr>
      </w:pPr>
    </w:p>
    <w:p w14:paraId="319478FB" w14:textId="35100653" w:rsidR="00BC6D6A" w:rsidRPr="00BC6D6A" w:rsidRDefault="00BC6D6A">
      <w:pPr>
        <w:spacing w:line="360" w:lineRule="auto"/>
        <w:ind w:firstLine="284"/>
        <w:jc w:val="both"/>
        <w:rPr>
          <w:rFonts w:cs="Times New Roman"/>
          <w:sz w:val="22"/>
          <w:szCs w:val="22"/>
        </w:rPr>
      </w:pPr>
      <w:r w:rsidRPr="00BC6D6A">
        <w:rPr>
          <w:rFonts w:cs="Times New Roman"/>
          <w:sz w:val="22"/>
          <w:szCs w:val="22"/>
        </w:rPr>
        <w:t xml:space="preserve">Dari data </w:t>
      </w:r>
      <w:proofErr w:type="spellStart"/>
      <w:r w:rsidRPr="00BC6D6A">
        <w:rPr>
          <w:rFonts w:cs="Times New Roman"/>
          <w:sz w:val="22"/>
          <w:szCs w:val="22"/>
        </w:rPr>
        <w:t>demografi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(Tabel 1)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terdapat</w:t>
      </w:r>
      <w:proofErr w:type="spellEnd"/>
      <w:r w:rsidRPr="00BC6D6A">
        <w:rPr>
          <w:rFonts w:cs="Times New Roman"/>
          <w:sz w:val="22"/>
          <w:szCs w:val="22"/>
        </w:rPr>
        <w:t xml:space="preserve"> </w:t>
      </w:r>
      <w:proofErr w:type="spellStart"/>
      <w:r w:rsidRPr="00BC6D6A">
        <w:rPr>
          <w:rFonts w:cs="Times New Roman"/>
          <w:sz w:val="22"/>
          <w:szCs w:val="22"/>
        </w:rPr>
        <w:t>perbedaan</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yang </w:t>
      </w:r>
      <w:proofErr w:type="spellStart"/>
      <w:r w:rsidRPr="00BC6D6A">
        <w:rPr>
          <w:rFonts w:cs="Times New Roman"/>
          <w:sz w:val="22"/>
          <w:szCs w:val="22"/>
        </w:rPr>
        <w:t>signifikan</w:t>
      </w:r>
      <w:proofErr w:type="spellEnd"/>
      <w:r w:rsidRPr="00BC6D6A">
        <w:rPr>
          <w:rFonts w:cs="Times New Roman"/>
          <w:sz w:val="22"/>
          <w:szCs w:val="22"/>
        </w:rPr>
        <w:t xml:space="preserve"> </w:t>
      </w:r>
      <w:proofErr w:type="spellStart"/>
      <w:r w:rsidRPr="00BC6D6A">
        <w:rPr>
          <w:rFonts w:cs="Times New Roman"/>
          <w:sz w:val="22"/>
          <w:szCs w:val="22"/>
        </w:rPr>
        <w:t>antara</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perempuan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63 </w:t>
      </w:r>
      <w:proofErr w:type="spellStart"/>
      <w:r w:rsidRPr="00BC6D6A">
        <w:rPr>
          <w:rFonts w:cs="Times New Roman"/>
          <w:sz w:val="22"/>
          <w:szCs w:val="22"/>
        </w:rPr>
        <w:t>pasien</w:t>
      </w:r>
      <w:proofErr w:type="spellEnd"/>
      <w:r w:rsidRPr="00BC6D6A">
        <w:rPr>
          <w:rFonts w:cs="Times New Roman"/>
          <w:sz w:val="22"/>
          <w:szCs w:val="22"/>
        </w:rPr>
        <w:t xml:space="preserve"> (67,02%)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laki-laki</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31 </w:t>
      </w:r>
      <w:proofErr w:type="spellStart"/>
      <w:r w:rsidRPr="00BC6D6A">
        <w:rPr>
          <w:rFonts w:cs="Times New Roman"/>
          <w:sz w:val="22"/>
          <w:szCs w:val="22"/>
        </w:rPr>
        <w:t>pasien</w:t>
      </w:r>
      <w:proofErr w:type="spellEnd"/>
      <w:r w:rsidRPr="00BC6D6A">
        <w:rPr>
          <w:rFonts w:cs="Times New Roman"/>
          <w:sz w:val="22"/>
          <w:szCs w:val="22"/>
        </w:rPr>
        <w:t xml:space="preserve"> (32,98%). Pada </w:t>
      </w:r>
      <w:proofErr w:type="spellStart"/>
      <w:r w:rsidRPr="00BC6D6A">
        <w:rPr>
          <w:rFonts w:cs="Times New Roman"/>
          <w:sz w:val="22"/>
          <w:szCs w:val="22"/>
        </w:rPr>
        <w:t>peneltiian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dewasa</w:t>
      </w:r>
      <w:proofErr w:type="spellEnd"/>
      <w:r w:rsidRPr="00BC6D6A">
        <w:rPr>
          <w:rFonts w:cs="Times New Roman"/>
          <w:sz w:val="22"/>
          <w:szCs w:val="22"/>
        </w:rPr>
        <w:t xml:space="preserve"> 19-45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mendominasi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43 </w:t>
      </w:r>
      <w:proofErr w:type="spellStart"/>
      <w:r w:rsidRPr="00BC6D6A">
        <w:rPr>
          <w:rFonts w:cs="Times New Roman"/>
          <w:sz w:val="22"/>
          <w:szCs w:val="22"/>
        </w:rPr>
        <w:t>pasien</w:t>
      </w:r>
      <w:proofErr w:type="spellEnd"/>
      <w:r w:rsidRPr="00BC6D6A">
        <w:rPr>
          <w:rFonts w:cs="Times New Roman"/>
          <w:sz w:val="22"/>
          <w:szCs w:val="22"/>
        </w:rPr>
        <w:t xml:space="preserve"> (45,74%), </w:t>
      </w:r>
      <w:proofErr w:type="spellStart"/>
      <w:r w:rsidRPr="00BC6D6A">
        <w:rPr>
          <w:rFonts w:cs="Times New Roman"/>
          <w:sz w:val="22"/>
          <w:szCs w:val="22"/>
        </w:rPr>
        <w:t>diikuti</w:t>
      </w:r>
      <w:proofErr w:type="spellEnd"/>
      <w:r w:rsidRPr="00BC6D6A">
        <w:rPr>
          <w:rFonts w:cs="Times New Roman"/>
          <w:sz w:val="22"/>
          <w:szCs w:val="22"/>
        </w:rPr>
        <w:t xml:space="preserve"> oleh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lansia</w:t>
      </w:r>
      <w:proofErr w:type="spellEnd"/>
      <w:r w:rsidRPr="00BC6D6A">
        <w:rPr>
          <w:rFonts w:cs="Times New Roman"/>
          <w:sz w:val="22"/>
          <w:szCs w:val="22"/>
        </w:rPr>
        <w:t xml:space="preserve"> ≥ 60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19 </w:t>
      </w:r>
      <w:proofErr w:type="spellStart"/>
      <w:r w:rsidRPr="00BC6D6A">
        <w:rPr>
          <w:rFonts w:cs="Times New Roman"/>
          <w:sz w:val="22"/>
          <w:szCs w:val="22"/>
        </w:rPr>
        <w:t>pasien</w:t>
      </w:r>
      <w:proofErr w:type="spellEnd"/>
      <w:r w:rsidRPr="00BC6D6A">
        <w:rPr>
          <w:rFonts w:cs="Times New Roman"/>
          <w:sz w:val="22"/>
          <w:szCs w:val="22"/>
        </w:rPr>
        <w:t xml:space="preserve"> (20,21%),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remaja</w:t>
      </w:r>
      <w:proofErr w:type="spellEnd"/>
      <w:r w:rsidRPr="00BC6D6A">
        <w:rPr>
          <w:rFonts w:cs="Times New Roman"/>
          <w:sz w:val="22"/>
          <w:szCs w:val="22"/>
        </w:rPr>
        <w:t xml:space="preserve"> 7-18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16 </w:t>
      </w:r>
      <w:proofErr w:type="spellStart"/>
      <w:r w:rsidRPr="00BC6D6A">
        <w:rPr>
          <w:rFonts w:cs="Times New Roman"/>
          <w:sz w:val="22"/>
          <w:szCs w:val="22"/>
        </w:rPr>
        <w:t>pasien</w:t>
      </w:r>
      <w:proofErr w:type="spellEnd"/>
      <w:r w:rsidRPr="00BC6D6A">
        <w:rPr>
          <w:rFonts w:cs="Times New Roman"/>
          <w:sz w:val="22"/>
          <w:szCs w:val="22"/>
        </w:rPr>
        <w:t xml:space="preserve"> (17,02%) dan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pra</w:t>
      </w:r>
      <w:proofErr w:type="spellEnd"/>
      <w:r w:rsidRPr="00BC6D6A">
        <w:rPr>
          <w:rFonts w:cs="Times New Roman"/>
          <w:sz w:val="22"/>
          <w:szCs w:val="22"/>
        </w:rPr>
        <w:t xml:space="preserve"> </w:t>
      </w:r>
      <w:proofErr w:type="spellStart"/>
      <w:r w:rsidRPr="00BC6D6A">
        <w:rPr>
          <w:rFonts w:cs="Times New Roman"/>
          <w:sz w:val="22"/>
          <w:szCs w:val="22"/>
        </w:rPr>
        <w:t>lanjut</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14 </w:t>
      </w:r>
      <w:proofErr w:type="spellStart"/>
      <w:r w:rsidRPr="00BC6D6A">
        <w:rPr>
          <w:rFonts w:cs="Times New Roman"/>
          <w:sz w:val="22"/>
          <w:szCs w:val="22"/>
        </w:rPr>
        <w:t>pasien</w:t>
      </w:r>
      <w:proofErr w:type="spellEnd"/>
      <w:r w:rsidRPr="00BC6D6A">
        <w:rPr>
          <w:rFonts w:cs="Times New Roman"/>
          <w:sz w:val="22"/>
          <w:szCs w:val="22"/>
        </w:rPr>
        <w:t xml:space="preserve"> (14,89%) </w:t>
      </w:r>
      <w:proofErr w:type="spellStart"/>
      <w:r w:rsidRPr="00BC6D6A">
        <w:rPr>
          <w:rFonts w:cs="Times New Roman"/>
          <w:sz w:val="22"/>
          <w:szCs w:val="22"/>
        </w:rPr>
        <w:t>sedangkan</w:t>
      </w:r>
      <w:proofErr w:type="spellEnd"/>
      <w:r w:rsidRPr="00BC6D6A">
        <w:rPr>
          <w:rFonts w:cs="Times New Roman"/>
          <w:sz w:val="22"/>
          <w:szCs w:val="22"/>
        </w:rPr>
        <w:t xml:space="preserve"> </w:t>
      </w:r>
      <w:proofErr w:type="spellStart"/>
      <w:r w:rsidRPr="00BC6D6A">
        <w:rPr>
          <w:rFonts w:cs="Times New Roman"/>
          <w:sz w:val="22"/>
          <w:szCs w:val="22"/>
        </w:rPr>
        <w:t>kelompok</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anak</w:t>
      </w:r>
      <w:proofErr w:type="spellEnd"/>
      <w:r w:rsidRPr="00BC6D6A">
        <w:rPr>
          <w:rFonts w:cs="Times New Roman"/>
          <w:sz w:val="22"/>
          <w:szCs w:val="22"/>
        </w:rPr>
        <w:t xml:space="preserve"> 1-6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2 </w:t>
      </w:r>
      <w:proofErr w:type="spellStart"/>
      <w:r w:rsidRPr="00BC6D6A">
        <w:rPr>
          <w:rFonts w:cs="Times New Roman"/>
          <w:sz w:val="22"/>
          <w:szCs w:val="22"/>
        </w:rPr>
        <w:t>pasien</w:t>
      </w:r>
      <w:proofErr w:type="spellEnd"/>
      <w:r w:rsidRPr="00BC6D6A">
        <w:rPr>
          <w:rFonts w:cs="Times New Roman"/>
          <w:sz w:val="22"/>
          <w:szCs w:val="22"/>
        </w:rPr>
        <w:t xml:space="preserve"> (2,13%). </w:t>
      </w:r>
    </w:p>
    <w:p w14:paraId="5045C57D" w14:textId="5D481683" w:rsidR="00B46EE3" w:rsidRPr="00BC6D6A" w:rsidRDefault="00000000">
      <w:pPr>
        <w:spacing w:line="360" w:lineRule="auto"/>
        <w:ind w:firstLine="284"/>
        <w:jc w:val="both"/>
        <w:rPr>
          <w:rFonts w:cs="Times New Roman"/>
          <w:sz w:val="22"/>
          <w:szCs w:val="22"/>
        </w:rPr>
      </w:pPr>
      <w:proofErr w:type="spellStart"/>
      <w:r w:rsidRPr="00BC6D6A">
        <w:rPr>
          <w:rFonts w:cs="Times New Roman"/>
          <w:sz w:val="22"/>
          <w:szCs w:val="22"/>
        </w:rPr>
        <w:t>Mayoritas</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berstatus</w:t>
      </w:r>
      <w:proofErr w:type="spellEnd"/>
      <w:r w:rsidRPr="00BC6D6A">
        <w:rPr>
          <w:rFonts w:cs="Times New Roman"/>
          <w:sz w:val="22"/>
          <w:szCs w:val="22"/>
        </w:rPr>
        <w:t xml:space="preserve"> </w:t>
      </w:r>
      <w:proofErr w:type="spellStart"/>
      <w:r w:rsidRPr="00BC6D6A">
        <w:rPr>
          <w:rFonts w:cs="Times New Roman"/>
          <w:sz w:val="22"/>
          <w:szCs w:val="22"/>
        </w:rPr>
        <w:t>pekerjaan</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IRT </w:t>
      </w:r>
      <w:proofErr w:type="spellStart"/>
      <w:r w:rsidRPr="00BC6D6A">
        <w:rPr>
          <w:rFonts w:cs="Times New Roman"/>
          <w:sz w:val="22"/>
          <w:szCs w:val="22"/>
        </w:rPr>
        <w:t>sebanyak</w:t>
      </w:r>
      <w:proofErr w:type="spellEnd"/>
      <w:r w:rsidRPr="00BC6D6A">
        <w:rPr>
          <w:rFonts w:cs="Times New Roman"/>
          <w:sz w:val="22"/>
          <w:szCs w:val="22"/>
        </w:rPr>
        <w:t xml:space="preserve"> 36 </w:t>
      </w:r>
      <w:proofErr w:type="spellStart"/>
      <w:r w:rsidRPr="00BC6D6A">
        <w:rPr>
          <w:rFonts w:cs="Times New Roman"/>
          <w:sz w:val="22"/>
          <w:szCs w:val="22"/>
        </w:rPr>
        <w:t>pasien</w:t>
      </w:r>
      <w:proofErr w:type="spellEnd"/>
      <w:r w:rsidRPr="00BC6D6A">
        <w:rPr>
          <w:rFonts w:cs="Times New Roman"/>
          <w:sz w:val="22"/>
          <w:szCs w:val="22"/>
        </w:rPr>
        <w:t xml:space="preserve"> (38,30%), yang </w:t>
      </w:r>
      <w:proofErr w:type="spellStart"/>
      <w:r w:rsidRPr="00BC6D6A">
        <w:rPr>
          <w:rFonts w:cs="Times New Roman"/>
          <w:sz w:val="22"/>
          <w:szCs w:val="22"/>
        </w:rPr>
        <w:t>diikuti</w:t>
      </w:r>
      <w:proofErr w:type="spellEnd"/>
      <w:r w:rsidRPr="00BC6D6A">
        <w:rPr>
          <w:rFonts w:cs="Times New Roman"/>
          <w:sz w:val="22"/>
          <w:szCs w:val="22"/>
        </w:rPr>
        <w:t xml:space="preserve"> oleh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berstatus</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wiraswasta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22 </w:t>
      </w:r>
      <w:proofErr w:type="spellStart"/>
      <w:r w:rsidRPr="00BC6D6A">
        <w:rPr>
          <w:rFonts w:cs="Times New Roman"/>
          <w:sz w:val="22"/>
          <w:szCs w:val="22"/>
        </w:rPr>
        <w:t>pasien</w:t>
      </w:r>
      <w:proofErr w:type="spellEnd"/>
      <w:r w:rsidRPr="00BC6D6A">
        <w:rPr>
          <w:rFonts w:cs="Times New Roman"/>
          <w:sz w:val="22"/>
          <w:szCs w:val="22"/>
        </w:rPr>
        <w:t xml:space="preserve"> </w:t>
      </w:r>
      <w:proofErr w:type="gramStart"/>
      <w:r w:rsidRPr="00BC6D6A">
        <w:rPr>
          <w:rFonts w:cs="Times New Roman"/>
          <w:sz w:val="22"/>
          <w:szCs w:val="22"/>
        </w:rPr>
        <w:t>( 23</w:t>
      </w:r>
      <w:proofErr w:type="gramEnd"/>
      <w:r w:rsidRPr="00BC6D6A">
        <w:rPr>
          <w:rFonts w:cs="Times New Roman"/>
          <w:sz w:val="22"/>
          <w:szCs w:val="22"/>
        </w:rPr>
        <w:t xml:space="preserve">,40%), </w:t>
      </w:r>
      <w:proofErr w:type="spellStart"/>
      <w:r w:rsidRPr="00BC6D6A">
        <w:rPr>
          <w:rFonts w:cs="Times New Roman"/>
          <w:sz w:val="22"/>
          <w:szCs w:val="22"/>
        </w:rPr>
        <w:t>mahasiswa</w:t>
      </w:r>
      <w:proofErr w:type="spellEnd"/>
      <w:r w:rsidRPr="00BC6D6A">
        <w:rPr>
          <w:rFonts w:cs="Times New Roman"/>
          <w:sz w:val="22"/>
          <w:szCs w:val="22"/>
        </w:rPr>
        <w:t>/</w:t>
      </w:r>
      <w:proofErr w:type="spellStart"/>
      <w:r w:rsidRPr="00BC6D6A">
        <w:rPr>
          <w:rFonts w:cs="Times New Roman"/>
          <w:sz w:val="22"/>
          <w:szCs w:val="22"/>
        </w:rPr>
        <w:t>pelajar</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15 </w:t>
      </w:r>
      <w:proofErr w:type="spellStart"/>
      <w:r w:rsidRPr="00BC6D6A">
        <w:rPr>
          <w:rFonts w:cs="Times New Roman"/>
          <w:sz w:val="22"/>
          <w:szCs w:val="22"/>
        </w:rPr>
        <w:t>pasien</w:t>
      </w:r>
      <w:proofErr w:type="spellEnd"/>
      <w:r w:rsidRPr="00BC6D6A">
        <w:rPr>
          <w:rFonts w:cs="Times New Roman"/>
          <w:sz w:val="22"/>
          <w:szCs w:val="22"/>
        </w:rPr>
        <w:t xml:space="preserve"> (19,56%), dan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bekerja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13 </w:t>
      </w:r>
      <w:proofErr w:type="spellStart"/>
      <w:r w:rsidRPr="00BC6D6A">
        <w:rPr>
          <w:rFonts w:cs="Times New Roman"/>
          <w:sz w:val="22"/>
          <w:szCs w:val="22"/>
        </w:rPr>
        <w:t>pasien</w:t>
      </w:r>
      <w:proofErr w:type="spellEnd"/>
      <w:r w:rsidRPr="00BC6D6A">
        <w:rPr>
          <w:rFonts w:cs="Times New Roman"/>
          <w:sz w:val="22"/>
          <w:szCs w:val="22"/>
        </w:rPr>
        <w:t xml:space="preserve"> 913,83)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8 </w:t>
      </w:r>
      <w:proofErr w:type="spellStart"/>
      <w:r w:rsidRPr="00BC6D6A">
        <w:rPr>
          <w:rFonts w:cs="Times New Roman"/>
          <w:sz w:val="22"/>
          <w:szCs w:val="22"/>
        </w:rPr>
        <w:t>pasien</w:t>
      </w:r>
      <w:proofErr w:type="spellEnd"/>
      <w:r w:rsidRPr="00BC6D6A">
        <w:rPr>
          <w:rFonts w:cs="Times New Roman"/>
          <w:sz w:val="22"/>
          <w:szCs w:val="22"/>
        </w:rPr>
        <w:t xml:space="preserve"> (8,51%) </w:t>
      </w:r>
      <w:proofErr w:type="spellStart"/>
      <w:r w:rsidRPr="00BC6D6A">
        <w:rPr>
          <w:rFonts w:cs="Times New Roman"/>
          <w:sz w:val="22"/>
          <w:szCs w:val="22"/>
        </w:rPr>
        <w:t>lainnya</w:t>
      </w:r>
      <w:proofErr w:type="spellEnd"/>
      <w:r w:rsidRPr="00BC6D6A">
        <w:rPr>
          <w:rFonts w:cs="Times New Roman"/>
          <w:sz w:val="22"/>
          <w:szCs w:val="22"/>
        </w:rPr>
        <w:t xml:space="preserve"> </w:t>
      </w:r>
      <w:proofErr w:type="spellStart"/>
      <w:r w:rsidRPr="00BC6D6A">
        <w:rPr>
          <w:rFonts w:cs="Times New Roman"/>
          <w:sz w:val="22"/>
          <w:szCs w:val="22"/>
        </w:rPr>
        <w:t>berstatus</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PNS. 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paling </w:t>
      </w:r>
      <w:proofErr w:type="spellStart"/>
      <w:r w:rsidRPr="00BC6D6A">
        <w:rPr>
          <w:rFonts w:cs="Times New Roman"/>
          <w:sz w:val="22"/>
          <w:szCs w:val="22"/>
        </w:rPr>
        <w:t>banayk</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beralamat</w:t>
      </w:r>
      <w:proofErr w:type="spellEnd"/>
      <w:r w:rsidRPr="00BC6D6A">
        <w:rPr>
          <w:rFonts w:cs="Times New Roman"/>
          <w:sz w:val="22"/>
          <w:szCs w:val="22"/>
        </w:rPr>
        <w:t xml:space="preserve"> di Kota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48 </w:t>
      </w:r>
      <w:proofErr w:type="spellStart"/>
      <w:r w:rsidRPr="00BC6D6A">
        <w:rPr>
          <w:rFonts w:cs="Times New Roman"/>
          <w:sz w:val="22"/>
          <w:szCs w:val="22"/>
        </w:rPr>
        <w:t>pasien</w:t>
      </w:r>
      <w:proofErr w:type="spellEnd"/>
      <w:r w:rsidRPr="00BC6D6A">
        <w:rPr>
          <w:rFonts w:cs="Times New Roman"/>
          <w:sz w:val="22"/>
          <w:szCs w:val="22"/>
        </w:rPr>
        <w:t xml:space="preserve"> (51,06%) dan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beralamat</w:t>
      </w:r>
      <w:proofErr w:type="spellEnd"/>
      <w:r w:rsidRPr="00BC6D6A">
        <w:rPr>
          <w:rFonts w:cs="Times New Roman"/>
          <w:sz w:val="22"/>
          <w:szCs w:val="22"/>
        </w:rPr>
        <w:t xml:space="preserve"> di </w:t>
      </w:r>
      <w:proofErr w:type="spellStart"/>
      <w:r w:rsidRPr="00BC6D6A">
        <w:rPr>
          <w:rFonts w:cs="Times New Roman"/>
          <w:sz w:val="22"/>
          <w:szCs w:val="22"/>
        </w:rPr>
        <w:t>Kabupaten</w:t>
      </w:r>
      <w:proofErr w:type="spellEnd"/>
      <w:r w:rsidRPr="00BC6D6A">
        <w:rPr>
          <w:rFonts w:cs="Times New Roman"/>
          <w:sz w:val="22"/>
          <w:szCs w:val="22"/>
        </w:rPr>
        <w:t xml:space="preserve">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33 </w:t>
      </w:r>
      <w:proofErr w:type="spellStart"/>
      <w:r w:rsidRPr="00BC6D6A">
        <w:rPr>
          <w:rFonts w:cs="Times New Roman"/>
          <w:sz w:val="22"/>
          <w:szCs w:val="22"/>
        </w:rPr>
        <w:t>pasien</w:t>
      </w:r>
      <w:proofErr w:type="spellEnd"/>
      <w:r w:rsidRPr="00BC6D6A">
        <w:rPr>
          <w:rFonts w:cs="Times New Roman"/>
          <w:sz w:val="22"/>
          <w:szCs w:val="22"/>
        </w:rPr>
        <w:t xml:space="preserve"> (35,11%) </w:t>
      </w:r>
      <w:proofErr w:type="spellStart"/>
      <w:r w:rsidRPr="00BC6D6A">
        <w:rPr>
          <w:rFonts w:cs="Times New Roman"/>
          <w:sz w:val="22"/>
          <w:szCs w:val="22"/>
        </w:rPr>
        <w:t>sedangkan</w:t>
      </w:r>
      <w:proofErr w:type="spellEnd"/>
      <w:r w:rsidRPr="00BC6D6A">
        <w:rPr>
          <w:rFonts w:cs="Times New Roman"/>
          <w:sz w:val="22"/>
          <w:szCs w:val="22"/>
        </w:rPr>
        <w:t xml:space="preserve"> 13 </w:t>
      </w:r>
      <w:proofErr w:type="spellStart"/>
      <w:r w:rsidRPr="00BC6D6A">
        <w:rPr>
          <w:rFonts w:cs="Times New Roman"/>
          <w:sz w:val="22"/>
          <w:szCs w:val="22"/>
        </w:rPr>
        <w:t>pasien</w:t>
      </w:r>
      <w:proofErr w:type="spellEnd"/>
      <w:r w:rsidRPr="00BC6D6A">
        <w:rPr>
          <w:rFonts w:cs="Times New Roman"/>
          <w:sz w:val="22"/>
          <w:szCs w:val="22"/>
        </w:rPr>
        <w:t xml:space="preserve"> (13,83%) </w:t>
      </w:r>
      <w:proofErr w:type="spellStart"/>
      <w:r w:rsidRPr="00BC6D6A">
        <w:rPr>
          <w:rFonts w:cs="Times New Roman"/>
          <w:sz w:val="22"/>
          <w:szCs w:val="22"/>
        </w:rPr>
        <w:t>lainnya</w:t>
      </w:r>
      <w:proofErr w:type="spellEnd"/>
      <w:r w:rsidRPr="00BC6D6A">
        <w:rPr>
          <w:rFonts w:cs="Times New Roman"/>
          <w:sz w:val="22"/>
          <w:szCs w:val="22"/>
        </w:rPr>
        <w:t xml:space="preserve"> </w:t>
      </w:r>
      <w:proofErr w:type="spellStart"/>
      <w:r w:rsidRPr="00BC6D6A">
        <w:rPr>
          <w:rFonts w:cs="Times New Roman"/>
          <w:sz w:val="22"/>
          <w:szCs w:val="22"/>
        </w:rPr>
        <w:t>beralamat</w:t>
      </w:r>
      <w:proofErr w:type="spellEnd"/>
      <w:r w:rsidRPr="00BC6D6A">
        <w:rPr>
          <w:rFonts w:cs="Times New Roman"/>
          <w:sz w:val="22"/>
          <w:szCs w:val="22"/>
        </w:rPr>
        <w:t xml:space="preserve"> di </w:t>
      </w:r>
      <w:proofErr w:type="spellStart"/>
      <w:r w:rsidRPr="00BC6D6A">
        <w:rPr>
          <w:rFonts w:cs="Times New Roman"/>
          <w:sz w:val="22"/>
          <w:szCs w:val="22"/>
        </w:rPr>
        <w:t>luar</w:t>
      </w:r>
      <w:proofErr w:type="spellEnd"/>
      <w:r w:rsidRPr="00BC6D6A">
        <w:rPr>
          <w:rFonts w:cs="Times New Roman"/>
          <w:sz w:val="22"/>
          <w:szCs w:val="22"/>
        </w:rPr>
        <w:t xml:space="preserve"> </w:t>
      </w:r>
      <w:proofErr w:type="spellStart"/>
      <w:r w:rsidRPr="00BC6D6A">
        <w:rPr>
          <w:rFonts w:cs="Times New Roman"/>
          <w:sz w:val="22"/>
          <w:szCs w:val="22"/>
        </w:rPr>
        <w:t>Tasikmalaya</w:t>
      </w:r>
      <w:proofErr w:type="spellEnd"/>
      <w:r w:rsidRPr="00BC6D6A">
        <w:rPr>
          <w:rFonts w:cs="Times New Roman"/>
          <w:sz w:val="22"/>
          <w:szCs w:val="22"/>
        </w:rPr>
        <w:t>.</w:t>
      </w:r>
    </w:p>
    <w:p w14:paraId="295C3D22" w14:textId="2051C343" w:rsidR="00B46EE3" w:rsidRPr="00BC6D6A" w:rsidRDefault="00000000" w:rsidP="00E255CE">
      <w:pPr>
        <w:spacing w:line="360" w:lineRule="auto"/>
        <w:ind w:firstLine="284"/>
        <w:jc w:val="both"/>
        <w:rPr>
          <w:rFonts w:cs="Times New Roman"/>
          <w:sz w:val="22"/>
          <w:szCs w:val="22"/>
        </w:rPr>
      </w:pPr>
      <w:sdt>
        <w:sdtPr>
          <w:rPr>
            <w:rFonts w:cs="Times New Roman"/>
          </w:rPr>
          <w:tag w:val="goog_rdk_3"/>
          <w:id w:val="-1013604711"/>
        </w:sdtPr>
        <w:sdtContent>
          <w:proofErr w:type="spellStart"/>
          <w:r w:rsidRPr="00BC6D6A">
            <w:rPr>
              <w:rFonts w:eastAsia="Gungsuh" w:cs="Times New Roman"/>
              <w:sz w:val="22"/>
              <w:szCs w:val="22"/>
            </w:rPr>
            <w:t>Terdapat</w:t>
          </w:r>
          <w:proofErr w:type="spellEnd"/>
          <w:r w:rsidRPr="00BC6D6A">
            <w:rPr>
              <w:rFonts w:eastAsia="Gungsuh" w:cs="Times New Roman"/>
              <w:sz w:val="22"/>
              <w:szCs w:val="22"/>
            </w:rPr>
            <w:t xml:space="preserve"> 53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(56,33%) yang </w:t>
          </w:r>
          <w:proofErr w:type="spellStart"/>
          <w:r w:rsidRPr="00BC6D6A">
            <w:rPr>
              <w:rFonts w:eastAsia="Gungsuh" w:cs="Times New Roman"/>
              <w:sz w:val="22"/>
              <w:szCs w:val="22"/>
            </w:rPr>
            <w:t>menjalani</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bedah</w:t>
          </w:r>
          <w:proofErr w:type="spellEnd"/>
          <w:r w:rsidRPr="00BC6D6A">
            <w:rPr>
              <w:rFonts w:eastAsia="Gungsuh" w:cs="Times New Roman"/>
              <w:sz w:val="22"/>
              <w:szCs w:val="22"/>
            </w:rPr>
            <w:t xml:space="preserve"> appendectomy, </w:t>
          </w:r>
          <w:proofErr w:type="spellStart"/>
          <w:r w:rsidRPr="00BC6D6A">
            <w:rPr>
              <w:rFonts w:eastAsia="Gungsuh" w:cs="Times New Roman"/>
              <w:sz w:val="22"/>
              <w:szCs w:val="22"/>
            </w:rPr>
            <w:t>sedangkan</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yang </w:t>
          </w:r>
          <w:proofErr w:type="spellStart"/>
          <w:r w:rsidRPr="00BC6D6A">
            <w:rPr>
              <w:rFonts w:eastAsia="Gungsuh" w:cs="Times New Roman"/>
              <w:sz w:val="22"/>
              <w:szCs w:val="22"/>
            </w:rPr>
            <w:t>menjalani</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bedah</w:t>
          </w:r>
          <w:proofErr w:type="spellEnd"/>
          <w:r w:rsidRPr="00BC6D6A">
            <w:rPr>
              <w:rFonts w:eastAsia="Gungsuh" w:cs="Times New Roman"/>
              <w:sz w:val="22"/>
              <w:szCs w:val="22"/>
            </w:rPr>
            <w:t xml:space="preserve"> cholecystectomy </w:t>
          </w:r>
          <w:proofErr w:type="spellStart"/>
          <w:r w:rsidRPr="00BC6D6A">
            <w:rPr>
              <w:rFonts w:eastAsia="Gungsuh" w:cs="Times New Roman"/>
              <w:sz w:val="22"/>
              <w:szCs w:val="22"/>
            </w:rPr>
            <w:t>sebanyak</w:t>
          </w:r>
          <w:proofErr w:type="spellEnd"/>
          <w:r w:rsidRPr="00BC6D6A">
            <w:rPr>
              <w:rFonts w:eastAsia="Gungsuh" w:cs="Times New Roman"/>
              <w:sz w:val="22"/>
              <w:szCs w:val="22"/>
            </w:rPr>
            <w:t xml:space="preserve"> 24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(25,53%) dan 17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(18,09%) </w:t>
          </w:r>
          <w:proofErr w:type="spellStart"/>
          <w:r w:rsidRPr="00BC6D6A">
            <w:rPr>
              <w:rFonts w:eastAsia="Gungsuh" w:cs="Times New Roman"/>
              <w:sz w:val="22"/>
              <w:szCs w:val="22"/>
            </w:rPr>
            <w:t>lainnya</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menjalani</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bedah</w:t>
          </w:r>
          <w:proofErr w:type="spellEnd"/>
          <w:r w:rsidRPr="00BC6D6A">
            <w:rPr>
              <w:rFonts w:eastAsia="Gungsuh" w:cs="Times New Roman"/>
              <w:sz w:val="22"/>
              <w:szCs w:val="22"/>
            </w:rPr>
            <w:t xml:space="preserve"> herniorrhaphy. </w:t>
          </w:r>
          <w:proofErr w:type="spellStart"/>
          <w:r w:rsidRPr="00BC6D6A">
            <w:rPr>
              <w:rFonts w:eastAsia="Gungsuh" w:cs="Times New Roman"/>
              <w:sz w:val="22"/>
              <w:szCs w:val="22"/>
            </w:rPr>
            <w:t>Berdasarkan</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penelitian</w:t>
          </w:r>
          <w:proofErr w:type="spellEnd"/>
          <w:r w:rsidRPr="00BC6D6A">
            <w:rPr>
              <w:rFonts w:eastAsia="Gungsuh" w:cs="Times New Roman"/>
              <w:sz w:val="22"/>
              <w:szCs w:val="22"/>
            </w:rPr>
            <w:t xml:space="preserve"> lama </w:t>
          </w:r>
          <w:proofErr w:type="spellStart"/>
          <w:r w:rsidRPr="00BC6D6A">
            <w:rPr>
              <w:rFonts w:eastAsia="Gungsuh" w:cs="Times New Roman"/>
              <w:sz w:val="22"/>
              <w:szCs w:val="22"/>
            </w:rPr>
            <w:t>perawatan</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paling </w:t>
          </w:r>
          <w:proofErr w:type="spellStart"/>
          <w:r w:rsidRPr="00BC6D6A">
            <w:rPr>
              <w:rFonts w:eastAsia="Gungsuh" w:cs="Times New Roman"/>
              <w:sz w:val="22"/>
              <w:szCs w:val="22"/>
            </w:rPr>
            <w:t>banyak</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dirawat</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selama</w:t>
          </w:r>
          <w:proofErr w:type="spellEnd"/>
          <w:r w:rsidRPr="00BC6D6A">
            <w:rPr>
              <w:rFonts w:eastAsia="Gungsuh" w:cs="Times New Roman"/>
              <w:sz w:val="22"/>
              <w:szCs w:val="22"/>
            </w:rPr>
            <w:t xml:space="preserve"> ≤ 3 </w:t>
          </w:r>
          <w:proofErr w:type="spellStart"/>
          <w:r w:rsidRPr="00BC6D6A">
            <w:rPr>
              <w:rFonts w:eastAsia="Gungsuh" w:cs="Times New Roman"/>
              <w:sz w:val="22"/>
              <w:szCs w:val="22"/>
            </w:rPr>
            <w:t>hari</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yaitu</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sebanyak</w:t>
          </w:r>
          <w:proofErr w:type="spellEnd"/>
          <w:r w:rsidRPr="00BC6D6A">
            <w:rPr>
              <w:rFonts w:eastAsia="Gungsuh" w:cs="Times New Roman"/>
              <w:sz w:val="22"/>
              <w:szCs w:val="22"/>
            </w:rPr>
            <w:t xml:space="preserve"> 59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(67,77%) dan 35 </w:t>
          </w:r>
          <w:proofErr w:type="spellStart"/>
          <w:r w:rsidRPr="00BC6D6A">
            <w:rPr>
              <w:rFonts w:eastAsia="Gungsuh" w:cs="Times New Roman"/>
              <w:sz w:val="22"/>
              <w:szCs w:val="22"/>
            </w:rPr>
            <w:t>pasien</w:t>
          </w:r>
          <w:proofErr w:type="spellEnd"/>
          <w:r w:rsidRPr="00BC6D6A">
            <w:rPr>
              <w:rFonts w:eastAsia="Gungsuh" w:cs="Times New Roman"/>
              <w:sz w:val="22"/>
              <w:szCs w:val="22"/>
            </w:rPr>
            <w:t xml:space="preserve"> (37,22%) </w:t>
          </w:r>
          <w:proofErr w:type="spellStart"/>
          <w:r w:rsidRPr="00BC6D6A">
            <w:rPr>
              <w:rFonts w:eastAsia="Gungsuh" w:cs="Times New Roman"/>
              <w:sz w:val="22"/>
              <w:szCs w:val="22"/>
            </w:rPr>
            <w:t>lainnya</w:t>
          </w:r>
          <w:proofErr w:type="spellEnd"/>
          <w:r w:rsidRPr="00BC6D6A">
            <w:rPr>
              <w:rFonts w:eastAsia="Gungsuh" w:cs="Times New Roman"/>
              <w:sz w:val="22"/>
              <w:szCs w:val="22"/>
            </w:rPr>
            <w:t xml:space="preserve"> di </w:t>
          </w:r>
          <w:proofErr w:type="spellStart"/>
          <w:r w:rsidRPr="00BC6D6A">
            <w:rPr>
              <w:rFonts w:eastAsia="Gungsuh" w:cs="Times New Roman"/>
              <w:sz w:val="22"/>
              <w:szCs w:val="22"/>
            </w:rPr>
            <w:t>rawat</w:t>
          </w:r>
          <w:proofErr w:type="spellEnd"/>
          <w:r w:rsidRPr="00BC6D6A">
            <w:rPr>
              <w:rFonts w:eastAsia="Gungsuh" w:cs="Times New Roman"/>
              <w:sz w:val="22"/>
              <w:szCs w:val="22"/>
            </w:rPr>
            <w:t xml:space="preserve"> </w:t>
          </w:r>
          <w:proofErr w:type="spellStart"/>
          <w:r w:rsidRPr="00BC6D6A">
            <w:rPr>
              <w:rFonts w:eastAsia="Gungsuh" w:cs="Times New Roman"/>
              <w:sz w:val="22"/>
              <w:szCs w:val="22"/>
            </w:rPr>
            <w:t>selama</w:t>
          </w:r>
          <w:proofErr w:type="spellEnd"/>
          <w:r w:rsidRPr="00BC6D6A">
            <w:rPr>
              <w:rFonts w:eastAsia="Gungsuh" w:cs="Times New Roman"/>
              <w:sz w:val="22"/>
              <w:szCs w:val="22"/>
            </w:rPr>
            <w:t xml:space="preserve"> &gt; 3 </w:t>
          </w:r>
          <w:proofErr w:type="spellStart"/>
          <w:r w:rsidRPr="00BC6D6A">
            <w:rPr>
              <w:rFonts w:eastAsia="Gungsuh" w:cs="Times New Roman"/>
              <w:sz w:val="22"/>
              <w:szCs w:val="22"/>
            </w:rPr>
            <w:t>hari</w:t>
          </w:r>
          <w:proofErr w:type="spellEnd"/>
          <w:r w:rsidRPr="00BC6D6A">
            <w:rPr>
              <w:rFonts w:eastAsia="Gungsuh" w:cs="Times New Roman"/>
              <w:sz w:val="22"/>
              <w:szCs w:val="22"/>
            </w:rPr>
            <w:t xml:space="preserve">. </w:t>
          </w:r>
        </w:sdtContent>
      </w:sdt>
    </w:p>
    <w:p w14:paraId="52A1FA5F" w14:textId="77777777" w:rsidR="00B46EE3" w:rsidRPr="00BC6D6A" w:rsidRDefault="00000000" w:rsidP="00E255CE">
      <w:pPr>
        <w:spacing w:before="240" w:line="360" w:lineRule="auto"/>
        <w:jc w:val="both"/>
        <w:rPr>
          <w:rFonts w:cs="Times New Roman"/>
          <w:b/>
          <w:sz w:val="22"/>
          <w:szCs w:val="22"/>
        </w:rPr>
      </w:pPr>
      <w:proofErr w:type="spellStart"/>
      <w:r w:rsidRPr="00BC6D6A">
        <w:rPr>
          <w:rFonts w:cs="Times New Roman"/>
          <w:b/>
          <w:sz w:val="22"/>
          <w:szCs w:val="22"/>
        </w:rPr>
        <w:t>Profil</w:t>
      </w:r>
      <w:proofErr w:type="spellEnd"/>
      <w:r w:rsidRPr="00BC6D6A">
        <w:rPr>
          <w:rFonts w:cs="Times New Roman"/>
          <w:b/>
          <w:sz w:val="22"/>
          <w:szCs w:val="22"/>
        </w:rPr>
        <w:t xml:space="preserve"> </w:t>
      </w:r>
      <w:proofErr w:type="spellStart"/>
      <w:r w:rsidRPr="00BC6D6A">
        <w:rPr>
          <w:rFonts w:cs="Times New Roman"/>
          <w:b/>
          <w:sz w:val="22"/>
          <w:szCs w:val="22"/>
        </w:rPr>
        <w:t>Penggunaan</w:t>
      </w:r>
      <w:proofErr w:type="spellEnd"/>
      <w:r w:rsidRPr="00BC6D6A">
        <w:rPr>
          <w:rFonts w:cs="Times New Roman"/>
          <w:b/>
          <w:sz w:val="22"/>
          <w:szCs w:val="22"/>
        </w:rPr>
        <w:t xml:space="preserve"> </w:t>
      </w:r>
      <w:proofErr w:type="spellStart"/>
      <w:r w:rsidRPr="00BC6D6A">
        <w:rPr>
          <w:rFonts w:cs="Times New Roman"/>
          <w:b/>
          <w:sz w:val="22"/>
          <w:szCs w:val="22"/>
        </w:rPr>
        <w:t>Antibiotik</w:t>
      </w:r>
      <w:proofErr w:type="spellEnd"/>
      <w:r w:rsidRPr="00BC6D6A">
        <w:rPr>
          <w:rFonts w:cs="Times New Roman"/>
          <w:b/>
          <w:sz w:val="22"/>
          <w:szCs w:val="22"/>
        </w:rPr>
        <w:t xml:space="preserve"> </w:t>
      </w:r>
      <w:proofErr w:type="spellStart"/>
      <w:r w:rsidRPr="00BC6D6A">
        <w:rPr>
          <w:rFonts w:cs="Times New Roman"/>
          <w:b/>
          <w:sz w:val="22"/>
          <w:szCs w:val="22"/>
        </w:rPr>
        <w:t>Profilaksis</w:t>
      </w:r>
      <w:proofErr w:type="spellEnd"/>
      <w:r w:rsidRPr="00BC6D6A">
        <w:rPr>
          <w:rFonts w:cs="Times New Roman"/>
          <w:b/>
          <w:sz w:val="22"/>
          <w:szCs w:val="22"/>
        </w:rPr>
        <w:t xml:space="preserve"> </w:t>
      </w:r>
    </w:p>
    <w:p w14:paraId="2B0EF11E" w14:textId="77777777" w:rsidR="00B46EE3" w:rsidRPr="00BC6D6A" w:rsidRDefault="00000000">
      <w:pPr>
        <w:spacing w:line="360" w:lineRule="auto"/>
        <w:jc w:val="center"/>
        <w:rPr>
          <w:rFonts w:cs="Times New Roman"/>
          <w:b/>
          <w:color w:val="000000"/>
        </w:rPr>
      </w:pPr>
      <w:bookmarkStart w:id="4" w:name="_heading=h.2et92p0" w:colFirst="0" w:colLast="0"/>
      <w:bookmarkEnd w:id="4"/>
      <w:r w:rsidRPr="00BC6D6A">
        <w:rPr>
          <w:rFonts w:cs="Times New Roman"/>
          <w:b/>
          <w:color w:val="000000"/>
        </w:rPr>
        <w:t>Tabel 2</w:t>
      </w:r>
      <w:r w:rsidRPr="00BC6D6A">
        <w:rPr>
          <w:rFonts w:cs="Times New Roman"/>
          <w:color w:val="000000"/>
        </w:rPr>
        <w:t xml:space="preserve">. </w:t>
      </w:r>
      <w:proofErr w:type="spellStart"/>
      <w:r w:rsidRPr="00BC6D6A">
        <w:rPr>
          <w:rFonts w:cs="Times New Roman"/>
          <w:b/>
          <w:color w:val="000000"/>
        </w:rPr>
        <w:t>Profil</w:t>
      </w:r>
      <w:proofErr w:type="spellEnd"/>
      <w:r w:rsidRPr="00BC6D6A">
        <w:rPr>
          <w:rFonts w:cs="Times New Roman"/>
          <w:b/>
          <w:color w:val="000000"/>
        </w:rPr>
        <w:t xml:space="preserve"> </w:t>
      </w:r>
      <w:proofErr w:type="spellStart"/>
      <w:r w:rsidRPr="00BC6D6A">
        <w:rPr>
          <w:rFonts w:cs="Times New Roman"/>
          <w:b/>
          <w:color w:val="000000"/>
        </w:rPr>
        <w:t>Penggunaan</w:t>
      </w:r>
      <w:proofErr w:type="spellEnd"/>
      <w:r w:rsidRPr="00BC6D6A">
        <w:rPr>
          <w:rFonts w:cs="Times New Roman"/>
          <w:b/>
          <w:color w:val="000000"/>
        </w:rPr>
        <w:t xml:space="preserve"> </w:t>
      </w:r>
      <w:proofErr w:type="spellStart"/>
      <w:r w:rsidRPr="00BC6D6A">
        <w:rPr>
          <w:rFonts w:cs="Times New Roman"/>
          <w:b/>
          <w:color w:val="000000"/>
        </w:rPr>
        <w:t>Antibiotik</w:t>
      </w:r>
      <w:proofErr w:type="spellEnd"/>
      <w:r w:rsidRPr="00BC6D6A">
        <w:rPr>
          <w:rFonts w:cs="Times New Roman"/>
          <w:b/>
          <w:color w:val="000000"/>
        </w:rPr>
        <w:t xml:space="preserve"> </w:t>
      </w:r>
      <w:proofErr w:type="spellStart"/>
      <w:r w:rsidRPr="00BC6D6A">
        <w:rPr>
          <w:rFonts w:cs="Times New Roman"/>
          <w:b/>
          <w:color w:val="000000"/>
        </w:rPr>
        <w:t>Profilaksis</w:t>
      </w:r>
      <w:proofErr w:type="spellEnd"/>
    </w:p>
    <w:tbl>
      <w:tblPr>
        <w:tblStyle w:val="a6"/>
        <w:tblW w:w="68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5"/>
        <w:gridCol w:w="1542"/>
        <w:gridCol w:w="2163"/>
      </w:tblGrid>
      <w:tr w:rsidR="00B46EE3" w:rsidRPr="00E255CE" w14:paraId="76C46416" w14:textId="77777777" w:rsidTr="00E255CE">
        <w:trPr>
          <w:trHeight w:val="243"/>
          <w:jc w:val="center"/>
        </w:trPr>
        <w:tc>
          <w:tcPr>
            <w:tcW w:w="3125" w:type="dxa"/>
            <w:tcBorders>
              <w:left w:val="nil"/>
              <w:bottom w:val="single" w:sz="4" w:space="0" w:color="000000"/>
              <w:right w:val="nil"/>
            </w:tcBorders>
          </w:tcPr>
          <w:p w14:paraId="7744E73C" w14:textId="77777777" w:rsidR="00B46EE3" w:rsidRPr="009B64B6" w:rsidRDefault="00000000">
            <w:pPr>
              <w:jc w:val="center"/>
              <w:rPr>
                <w:rFonts w:cs="Times New Roman"/>
                <w:b/>
                <w:bCs/>
              </w:rPr>
            </w:pPr>
            <w:proofErr w:type="spellStart"/>
            <w:r w:rsidRPr="009B64B6">
              <w:rPr>
                <w:rFonts w:cs="Times New Roman"/>
                <w:b/>
                <w:bCs/>
              </w:rPr>
              <w:t>Kategori</w:t>
            </w:r>
            <w:proofErr w:type="spellEnd"/>
          </w:p>
        </w:tc>
        <w:tc>
          <w:tcPr>
            <w:tcW w:w="1542" w:type="dxa"/>
            <w:tcBorders>
              <w:left w:val="nil"/>
              <w:bottom w:val="single" w:sz="4" w:space="0" w:color="000000"/>
              <w:right w:val="nil"/>
            </w:tcBorders>
          </w:tcPr>
          <w:p w14:paraId="2967D2BF" w14:textId="77777777" w:rsidR="00B46EE3" w:rsidRPr="009B64B6" w:rsidRDefault="00000000">
            <w:pPr>
              <w:jc w:val="center"/>
              <w:rPr>
                <w:rFonts w:cs="Times New Roman"/>
                <w:b/>
                <w:bCs/>
              </w:rPr>
            </w:pPr>
            <w:proofErr w:type="spellStart"/>
            <w:r w:rsidRPr="009B64B6">
              <w:rPr>
                <w:rFonts w:cs="Times New Roman"/>
                <w:b/>
                <w:bCs/>
              </w:rPr>
              <w:t>Jumlah</w:t>
            </w:r>
            <w:proofErr w:type="spellEnd"/>
          </w:p>
        </w:tc>
        <w:tc>
          <w:tcPr>
            <w:tcW w:w="2163" w:type="dxa"/>
            <w:tcBorders>
              <w:left w:val="nil"/>
              <w:bottom w:val="single" w:sz="4" w:space="0" w:color="000000"/>
              <w:right w:val="nil"/>
            </w:tcBorders>
          </w:tcPr>
          <w:p w14:paraId="0F0CBD3C" w14:textId="77777777" w:rsidR="00B46EE3" w:rsidRPr="009B64B6" w:rsidRDefault="00000000">
            <w:pPr>
              <w:jc w:val="center"/>
              <w:rPr>
                <w:rFonts w:cs="Times New Roman"/>
                <w:b/>
                <w:bCs/>
              </w:rPr>
            </w:pPr>
            <w:r w:rsidRPr="009B64B6">
              <w:rPr>
                <w:rFonts w:cs="Times New Roman"/>
                <w:b/>
                <w:bCs/>
              </w:rPr>
              <w:t>% (n=94)</w:t>
            </w:r>
          </w:p>
        </w:tc>
      </w:tr>
      <w:tr w:rsidR="00B46EE3" w:rsidRPr="00E255CE" w14:paraId="6548CB13" w14:textId="77777777" w:rsidTr="00E255CE">
        <w:trPr>
          <w:trHeight w:val="243"/>
          <w:jc w:val="center"/>
        </w:trPr>
        <w:tc>
          <w:tcPr>
            <w:tcW w:w="3125" w:type="dxa"/>
            <w:tcBorders>
              <w:left w:val="nil"/>
              <w:bottom w:val="nil"/>
              <w:right w:val="nil"/>
            </w:tcBorders>
          </w:tcPr>
          <w:p w14:paraId="67409028" w14:textId="77777777" w:rsidR="00B46EE3" w:rsidRPr="00E255CE" w:rsidRDefault="00000000">
            <w:pPr>
              <w:rPr>
                <w:rFonts w:cs="Times New Roman"/>
                <w:b/>
              </w:rPr>
            </w:pPr>
            <w:r w:rsidRPr="00E255CE">
              <w:rPr>
                <w:rFonts w:cs="Times New Roman"/>
                <w:b/>
              </w:rPr>
              <w:t xml:space="preserve">Jenis </w:t>
            </w:r>
            <w:proofErr w:type="spellStart"/>
            <w:r w:rsidRPr="00E255CE">
              <w:rPr>
                <w:rFonts w:cs="Times New Roman"/>
                <w:b/>
              </w:rPr>
              <w:t>Antibiotik</w:t>
            </w:r>
            <w:proofErr w:type="spellEnd"/>
          </w:p>
        </w:tc>
        <w:tc>
          <w:tcPr>
            <w:tcW w:w="1542" w:type="dxa"/>
            <w:tcBorders>
              <w:left w:val="nil"/>
              <w:bottom w:val="nil"/>
              <w:right w:val="nil"/>
            </w:tcBorders>
          </w:tcPr>
          <w:p w14:paraId="32E74B96" w14:textId="77777777" w:rsidR="00B46EE3" w:rsidRPr="00E255CE" w:rsidRDefault="00B46EE3">
            <w:pPr>
              <w:jc w:val="center"/>
              <w:rPr>
                <w:rFonts w:cs="Times New Roman"/>
              </w:rPr>
            </w:pPr>
          </w:p>
        </w:tc>
        <w:tc>
          <w:tcPr>
            <w:tcW w:w="2163" w:type="dxa"/>
            <w:tcBorders>
              <w:left w:val="nil"/>
              <w:bottom w:val="nil"/>
              <w:right w:val="nil"/>
            </w:tcBorders>
          </w:tcPr>
          <w:p w14:paraId="6E4B9966" w14:textId="77777777" w:rsidR="00B46EE3" w:rsidRPr="00E255CE" w:rsidRDefault="00B46EE3">
            <w:pPr>
              <w:jc w:val="center"/>
              <w:rPr>
                <w:rFonts w:cs="Times New Roman"/>
              </w:rPr>
            </w:pPr>
          </w:p>
        </w:tc>
      </w:tr>
      <w:tr w:rsidR="00B46EE3" w:rsidRPr="00E255CE" w14:paraId="1DF34266" w14:textId="77777777" w:rsidTr="00E255CE">
        <w:trPr>
          <w:trHeight w:val="243"/>
          <w:jc w:val="center"/>
        </w:trPr>
        <w:tc>
          <w:tcPr>
            <w:tcW w:w="3125" w:type="dxa"/>
            <w:tcBorders>
              <w:top w:val="nil"/>
              <w:left w:val="nil"/>
              <w:bottom w:val="nil"/>
              <w:right w:val="nil"/>
            </w:tcBorders>
          </w:tcPr>
          <w:p w14:paraId="34A37CD5" w14:textId="08D86F04" w:rsidR="00B46EE3" w:rsidRPr="00E255CE" w:rsidRDefault="00E255CE">
            <w:pPr>
              <w:rPr>
                <w:rFonts w:cs="Times New Roman"/>
              </w:rPr>
            </w:pPr>
            <w:r w:rsidRPr="00E255CE">
              <w:rPr>
                <w:rFonts w:cs="Times New Roman"/>
              </w:rPr>
              <w:t xml:space="preserve"> Ceftriaxone</w:t>
            </w:r>
          </w:p>
        </w:tc>
        <w:tc>
          <w:tcPr>
            <w:tcW w:w="1542" w:type="dxa"/>
            <w:tcBorders>
              <w:top w:val="nil"/>
              <w:left w:val="nil"/>
              <w:bottom w:val="nil"/>
              <w:right w:val="nil"/>
            </w:tcBorders>
          </w:tcPr>
          <w:p w14:paraId="7EF8C48D" w14:textId="77777777" w:rsidR="00B46EE3" w:rsidRPr="00E255CE" w:rsidRDefault="00000000">
            <w:pPr>
              <w:jc w:val="center"/>
              <w:rPr>
                <w:rFonts w:cs="Times New Roman"/>
              </w:rPr>
            </w:pPr>
            <w:r w:rsidRPr="00E255CE">
              <w:rPr>
                <w:rFonts w:cs="Times New Roman"/>
              </w:rPr>
              <w:t>92</w:t>
            </w:r>
          </w:p>
        </w:tc>
        <w:tc>
          <w:tcPr>
            <w:tcW w:w="2163" w:type="dxa"/>
            <w:tcBorders>
              <w:top w:val="nil"/>
              <w:left w:val="nil"/>
              <w:bottom w:val="nil"/>
              <w:right w:val="nil"/>
            </w:tcBorders>
          </w:tcPr>
          <w:p w14:paraId="289958E0" w14:textId="77777777" w:rsidR="00B46EE3" w:rsidRPr="00E255CE" w:rsidRDefault="00000000">
            <w:pPr>
              <w:jc w:val="center"/>
              <w:rPr>
                <w:rFonts w:cs="Times New Roman"/>
              </w:rPr>
            </w:pPr>
            <w:r w:rsidRPr="00E255CE">
              <w:rPr>
                <w:rFonts w:cs="Times New Roman"/>
              </w:rPr>
              <w:t>97,87</w:t>
            </w:r>
          </w:p>
        </w:tc>
      </w:tr>
      <w:tr w:rsidR="00B46EE3" w:rsidRPr="00E255CE" w14:paraId="5422F421" w14:textId="77777777" w:rsidTr="00E255CE">
        <w:trPr>
          <w:trHeight w:val="221"/>
          <w:jc w:val="center"/>
        </w:trPr>
        <w:tc>
          <w:tcPr>
            <w:tcW w:w="3125" w:type="dxa"/>
            <w:tcBorders>
              <w:top w:val="nil"/>
              <w:left w:val="nil"/>
              <w:bottom w:val="single" w:sz="4" w:space="0" w:color="000000"/>
              <w:right w:val="nil"/>
            </w:tcBorders>
          </w:tcPr>
          <w:p w14:paraId="1846FF4D" w14:textId="73801287" w:rsidR="00B46EE3" w:rsidRPr="00E255CE" w:rsidRDefault="00E255CE">
            <w:pPr>
              <w:rPr>
                <w:rFonts w:cs="Times New Roman"/>
              </w:rPr>
            </w:pPr>
            <w:r w:rsidRPr="00E255CE">
              <w:rPr>
                <w:rFonts w:cs="Times New Roman"/>
              </w:rPr>
              <w:t xml:space="preserve"> Ciprofloxacin</w:t>
            </w:r>
          </w:p>
        </w:tc>
        <w:tc>
          <w:tcPr>
            <w:tcW w:w="1542" w:type="dxa"/>
            <w:tcBorders>
              <w:top w:val="nil"/>
              <w:left w:val="nil"/>
              <w:bottom w:val="single" w:sz="4" w:space="0" w:color="000000"/>
              <w:right w:val="nil"/>
            </w:tcBorders>
          </w:tcPr>
          <w:p w14:paraId="76BCE1F2" w14:textId="77777777" w:rsidR="00B46EE3" w:rsidRPr="00E255CE" w:rsidRDefault="00000000">
            <w:pPr>
              <w:jc w:val="center"/>
              <w:rPr>
                <w:rFonts w:cs="Times New Roman"/>
              </w:rPr>
            </w:pPr>
            <w:r w:rsidRPr="00E255CE">
              <w:rPr>
                <w:rFonts w:cs="Times New Roman"/>
              </w:rPr>
              <w:t>2</w:t>
            </w:r>
          </w:p>
        </w:tc>
        <w:tc>
          <w:tcPr>
            <w:tcW w:w="2163" w:type="dxa"/>
            <w:tcBorders>
              <w:top w:val="nil"/>
              <w:left w:val="nil"/>
              <w:bottom w:val="single" w:sz="4" w:space="0" w:color="000000"/>
              <w:right w:val="nil"/>
            </w:tcBorders>
          </w:tcPr>
          <w:p w14:paraId="4734EADD" w14:textId="77777777" w:rsidR="00B46EE3" w:rsidRPr="00E255CE" w:rsidRDefault="00000000">
            <w:pPr>
              <w:jc w:val="center"/>
              <w:rPr>
                <w:rFonts w:cs="Times New Roman"/>
              </w:rPr>
            </w:pPr>
            <w:r w:rsidRPr="00E255CE">
              <w:rPr>
                <w:rFonts w:cs="Times New Roman"/>
              </w:rPr>
              <w:t>2,13</w:t>
            </w:r>
          </w:p>
        </w:tc>
      </w:tr>
      <w:tr w:rsidR="00B46EE3" w:rsidRPr="00E255CE" w14:paraId="2542154E" w14:textId="77777777" w:rsidTr="00E255CE">
        <w:trPr>
          <w:trHeight w:val="263"/>
          <w:jc w:val="center"/>
        </w:trPr>
        <w:tc>
          <w:tcPr>
            <w:tcW w:w="3125" w:type="dxa"/>
            <w:tcBorders>
              <w:left w:val="nil"/>
              <w:bottom w:val="nil"/>
              <w:right w:val="nil"/>
            </w:tcBorders>
          </w:tcPr>
          <w:p w14:paraId="5BFC79A4" w14:textId="77777777" w:rsidR="00B46EE3" w:rsidRPr="00E255CE" w:rsidRDefault="00000000">
            <w:pPr>
              <w:rPr>
                <w:rFonts w:cs="Times New Roman"/>
                <w:b/>
              </w:rPr>
            </w:pPr>
            <w:r w:rsidRPr="00E255CE">
              <w:rPr>
                <w:rFonts w:cs="Times New Roman"/>
                <w:b/>
              </w:rPr>
              <w:t xml:space="preserve">Rute </w:t>
            </w:r>
            <w:proofErr w:type="spellStart"/>
            <w:r w:rsidRPr="00E255CE">
              <w:rPr>
                <w:rFonts w:cs="Times New Roman"/>
                <w:b/>
              </w:rPr>
              <w:t>Pemberian</w:t>
            </w:r>
            <w:proofErr w:type="spellEnd"/>
          </w:p>
        </w:tc>
        <w:tc>
          <w:tcPr>
            <w:tcW w:w="1542" w:type="dxa"/>
            <w:tcBorders>
              <w:left w:val="nil"/>
              <w:bottom w:val="nil"/>
              <w:right w:val="nil"/>
            </w:tcBorders>
          </w:tcPr>
          <w:p w14:paraId="7FD378BE" w14:textId="77777777" w:rsidR="00B46EE3" w:rsidRPr="00E255CE" w:rsidRDefault="00B46EE3">
            <w:pPr>
              <w:jc w:val="center"/>
              <w:rPr>
                <w:rFonts w:cs="Times New Roman"/>
                <w:b/>
              </w:rPr>
            </w:pPr>
          </w:p>
        </w:tc>
        <w:tc>
          <w:tcPr>
            <w:tcW w:w="2163" w:type="dxa"/>
            <w:tcBorders>
              <w:left w:val="nil"/>
              <w:bottom w:val="nil"/>
              <w:right w:val="nil"/>
            </w:tcBorders>
          </w:tcPr>
          <w:p w14:paraId="6ECC0E00" w14:textId="77777777" w:rsidR="00B46EE3" w:rsidRPr="00E255CE" w:rsidRDefault="00B46EE3">
            <w:pPr>
              <w:jc w:val="center"/>
              <w:rPr>
                <w:rFonts w:cs="Times New Roman"/>
                <w:b/>
              </w:rPr>
            </w:pPr>
          </w:p>
        </w:tc>
      </w:tr>
      <w:tr w:rsidR="00B46EE3" w:rsidRPr="00E255CE" w14:paraId="167F52AC" w14:textId="77777777" w:rsidTr="00E255CE">
        <w:trPr>
          <w:trHeight w:val="263"/>
          <w:jc w:val="center"/>
        </w:trPr>
        <w:tc>
          <w:tcPr>
            <w:tcW w:w="3125" w:type="dxa"/>
            <w:tcBorders>
              <w:top w:val="nil"/>
              <w:left w:val="nil"/>
              <w:bottom w:val="nil"/>
              <w:right w:val="nil"/>
            </w:tcBorders>
          </w:tcPr>
          <w:p w14:paraId="73381C30" w14:textId="10584CE9" w:rsidR="00B46EE3" w:rsidRPr="00E255CE" w:rsidRDefault="00E255CE">
            <w:pPr>
              <w:rPr>
                <w:rFonts w:cs="Times New Roman"/>
                <w:b/>
              </w:rPr>
            </w:pPr>
            <w:r w:rsidRPr="00E255CE">
              <w:rPr>
                <w:rFonts w:cs="Times New Roman"/>
              </w:rPr>
              <w:t xml:space="preserve"> IV</w:t>
            </w:r>
          </w:p>
        </w:tc>
        <w:tc>
          <w:tcPr>
            <w:tcW w:w="1542" w:type="dxa"/>
            <w:tcBorders>
              <w:top w:val="nil"/>
              <w:left w:val="nil"/>
              <w:bottom w:val="nil"/>
              <w:right w:val="nil"/>
            </w:tcBorders>
          </w:tcPr>
          <w:p w14:paraId="4A9E48E2" w14:textId="77777777" w:rsidR="00B46EE3" w:rsidRPr="00E255CE" w:rsidRDefault="00000000">
            <w:pPr>
              <w:jc w:val="center"/>
              <w:rPr>
                <w:rFonts w:cs="Times New Roman"/>
                <w:b/>
              </w:rPr>
            </w:pPr>
            <w:r w:rsidRPr="00E255CE">
              <w:rPr>
                <w:rFonts w:cs="Times New Roman"/>
              </w:rPr>
              <w:t>94</w:t>
            </w:r>
          </w:p>
        </w:tc>
        <w:tc>
          <w:tcPr>
            <w:tcW w:w="2163" w:type="dxa"/>
            <w:tcBorders>
              <w:top w:val="nil"/>
              <w:left w:val="nil"/>
              <w:bottom w:val="nil"/>
              <w:right w:val="nil"/>
            </w:tcBorders>
          </w:tcPr>
          <w:p w14:paraId="355EF239" w14:textId="77777777" w:rsidR="00B46EE3" w:rsidRPr="00E255CE" w:rsidRDefault="00000000">
            <w:pPr>
              <w:jc w:val="center"/>
              <w:rPr>
                <w:rFonts w:cs="Times New Roman"/>
                <w:b/>
              </w:rPr>
            </w:pPr>
            <w:r w:rsidRPr="00E255CE">
              <w:rPr>
                <w:rFonts w:cs="Times New Roman"/>
              </w:rPr>
              <w:t>100</w:t>
            </w:r>
          </w:p>
        </w:tc>
      </w:tr>
      <w:tr w:rsidR="00B46EE3" w:rsidRPr="00E255CE" w14:paraId="5AEC084A" w14:textId="77777777" w:rsidTr="00E255CE">
        <w:trPr>
          <w:trHeight w:val="263"/>
          <w:jc w:val="center"/>
        </w:trPr>
        <w:tc>
          <w:tcPr>
            <w:tcW w:w="3125" w:type="dxa"/>
            <w:tcBorders>
              <w:top w:val="nil"/>
              <w:left w:val="nil"/>
              <w:bottom w:val="single" w:sz="4" w:space="0" w:color="000000"/>
              <w:right w:val="nil"/>
            </w:tcBorders>
          </w:tcPr>
          <w:p w14:paraId="2D933B6B" w14:textId="499D0244" w:rsidR="00B46EE3" w:rsidRPr="00E255CE" w:rsidRDefault="00E255CE">
            <w:pPr>
              <w:rPr>
                <w:rFonts w:cs="Times New Roman"/>
                <w:b/>
              </w:rPr>
            </w:pPr>
            <w:r w:rsidRPr="00E255CE">
              <w:rPr>
                <w:rFonts w:cs="Times New Roman"/>
              </w:rPr>
              <w:t xml:space="preserve"> Per Oral</w:t>
            </w:r>
          </w:p>
        </w:tc>
        <w:tc>
          <w:tcPr>
            <w:tcW w:w="1542" w:type="dxa"/>
            <w:tcBorders>
              <w:top w:val="nil"/>
              <w:left w:val="nil"/>
              <w:bottom w:val="single" w:sz="4" w:space="0" w:color="000000"/>
              <w:right w:val="nil"/>
            </w:tcBorders>
          </w:tcPr>
          <w:p w14:paraId="045B54C9" w14:textId="77777777" w:rsidR="00B46EE3" w:rsidRPr="00E255CE" w:rsidRDefault="00000000">
            <w:pPr>
              <w:jc w:val="center"/>
              <w:rPr>
                <w:rFonts w:cs="Times New Roman"/>
                <w:b/>
              </w:rPr>
            </w:pPr>
            <w:r w:rsidRPr="00E255CE">
              <w:rPr>
                <w:rFonts w:cs="Times New Roman"/>
              </w:rPr>
              <w:t>0</w:t>
            </w:r>
          </w:p>
        </w:tc>
        <w:tc>
          <w:tcPr>
            <w:tcW w:w="2163" w:type="dxa"/>
            <w:tcBorders>
              <w:top w:val="nil"/>
              <w:left w:val="nil"/>
              <w:bottom w:val="single" w:sz="4" w:space="0" w:color="000000"/>
              <w:right w:val="nil"/>
            </w:tcBorders>
          </w:tcPr>
          <w:p w14:paraId="3ED05F7D" w14:textId="77777777" w:rsidR="00B46EE3" w:rsidRPr="00E255CE" w:rsidRDefault="00000000">
            <w:pPr>
              <w:jc w:val="center"/>
              <w:rPr>
                <w:rFonts w:cs="Times New Roman"/>
                <w:b/>
              </w:rPr>
            </w:pPr>
            <w:r w:rsidRPr="00E255CE">
              <w:rPr>
                <w:rFonts w:cs="Times New Roman"/>
              </w:rPr>
              <w:t>0</w:t>
            </w:r>
          </w:p>
        </w:tc>
      </w:tr>
      <w:tr w:rsidR="00B46EE3" w:rsidRPr="00E255CE" w14:paraId="7D02A959" w14:textId="77777777" w:rsidTr="00E255CE">
        <w:trPr>
          <w:trHeight w:val="263"/>
          <w:jc w:val="center"/>
        </w:trPr>
        <w:tc>
          <w:tcPr>
            <w:tcW w:w="3125" w:type="dxa"/>
            <w:tcBorders>
              <w:left w:val="nil"/>
              <w:bottom w:val="nil"/>
              <w:right w:val="nil"/>
            </w:tcBorders>
          </w:tcPr>
          <w:p w14:paraId="2C06DC78" w14:textId="77777777" w:rsidR="00B46EE3" w:rsidRPr="00E255CE" w:rsidRDefault="00000000">
            <w:pPr>
              <w:rPr>
                <w:rFonts w:cs="Times New Roman"/>
                <w:b/>
              </w:rPr>
            </w:pPr>
            <w:r w:rsidRPr="00E255CE">
              <w:rPr>
                <w:rFonts w:cs="Times New Roman"/>
                <w:b/>
              </w:rPr>
              <w:t xml:space="preserve">Waktu </w:t>
            </w:r>
            <w:proofErr w:type="spellStart"/>
            <w:r w:rsidRPr="00E255CE">
              <w:rPr>
                <w:rFonts w:cs="Times New Roman"/>
                <w:b/>
              </w:rPr>
              <w:t>Pemberian</w:t>
            </w:r>
            <w:proofErr w:type="spellEnd"/>
          </w:p>
        </w:tc>
        <w:tc>
          <w:tcPr>
            <w:tcW w:w="1542" w:type="dxa"/>
            <w:tcBorders>
              <w:left w:val="nil"/>
              <w:bottom w:val="nil"/>
              <w:right w:val="nil"/>
            </w:tcBorders>
          </w:tcPr>
          <w:p w14:paraId="1E44BC6A" w14:textId="77777777" w:rsidR="00B46EE3" w:rsidRPr="00E255CE" w:rsidRDefault="00B46EE3">
            <w:pPr>
              <w:jc w:val="center"/>
              <w:rPr>
                <w:rFonts w:cs="Times New Roman"/>
              </w:rPr>
            </w:pPr>
          </w:p>
        </w:tc>
        <w:tc>
          <w:tcPr>
            <w:tcW w:w="2163" w:type="dxa"/>
            <w:tcBorders>
              <w:left w:val="nil"/>
              <w:bottom w:val="nil"/>
              <w:right w:val="nil"/>
            </w:tcBorders>
          </w:tcPr>
          <w:p w14:paraId="4DFCF9A9" w14:textId="77777777" w:rsidR="00B46EE3" w:rsidRPr="00E255CE" w:rsidRDefault="00B46EE3">
            <w:pPr>
              <w:jc w:val="center"/>
              <w:rPr>
                <w:rFonts w:cs="Times New Roman"/>
              </w:rPr>
            </w:pPr>
          </w:p>
        </w:tc>
      </w:tr>
      <w:tr w:rsidR="00B46EE3" w:rsidRPr="00E255CE" w14:paraId="28373BA1" w14:textId="77777777" w:rsidTr="00E255CE">
        <w:trPr>
          <w:trHeight w:val="263"/>
          <w:jc w:val="center"/>
        </w:trPr>
        <w:tc>
          <w:tcPr>
            <w:tcW w:w="3125" w:type="dxa"/>
            <w:tcBorders>
              <w:top w:val="nil"/>
              <w:left w:val="nil"/>
              <w:bottom w:val="nil"/>
              <w:right w:val="nil"/>
            </w:tcBorders>
          </w:tcPr>
          <w:p w14:paraId="6A27BD2E" w14:textId="3A71ACBB" w:rsidR="00B46EE3" w:rsidRPr="00E255CE" w:rsidRDefault="00000000">
            <w:pPr>
              <w:rPr>
                <w:rFonts w:cs="Times New Roman"/>
              </w:rPr>
            </w:pPr>
            <w:sdt>
              <w:sdtPr>
                <w:rPr>
                  <w:rFonts w:cs="Times New Roman"/>
                </w:rPr>
                <w:tag w:val="goog_rdk_4"/>
                <w:id w:val="-1186744679"/>
              </w:sdtPr>
              <w:sdtContent>
                <w:r w:rsidR="00E255CE" w:rsidRPr="00E255CE">
                  <w:rPr>
                    <w:rFonts w:eastAsia="Gungsuh" w:cs="Times New Roman"/>
                  </w:rPr>
                  <w:t xml:space="preserve"> </w:t>
                </w:r>
                <w:r w:rsidRPr="00E255CE">
                  <w:rPr>
                    <w:rFonts w:eastAsia="Gungsuh" w:cs="Times New Roman"/>
                  </w:rPr>
                  <w:t xml:space="preserve">≥ 30 </w:t>
                </w:r>
                <w:proofErr w:type="spellStart"/>
                <w:r w:rsidRPr="00E255CE">
                  <w:rPr>
                    <w:rFonts w:eastAsia="Gungsuh" w:cs="Times New Roman"/>
                  </w:rPr>
                  <w:t>menit</w:t>
                </w:r>
                <w:proofErr w:type="spellEnd"/>
              </w:sdtContent>
            </w:sdt>
          </w:p>
        </w:tc>
        <w:tc>
          <w:tcPr>
            <w:tcW w:w="1542" w:type="dxa"/>
            <w:tcBorders>
              <w:top w:val="nil"/>
              <w:left w:val="nil"/>
              <w:bottom w:val="nil"/>
              <w:right w:val="nil"/>
            </w:tcBorders>
          </w:tcPr>
          <w:p w14:paraId="119185AD" w14:textId="77777777" w:rsidR="00B46EE3" w:rsidRPr="00E255CE" w:rsidRDefault="00000000">
            <w:pPr>
              <w:jc w:val="center"/>
              <w:rPr>
                <w:rFonts w:cs="Times New Roman"/>
              </w:rPr>
            </w:pPr>
            <w:r w:rsidRPr="00E255CE">
              <w:rPr>
                <w:rFonts w:cs="Times New Roman"/>
              </w:rPr>
              <w:t>34</w:t>
            </w:r>
          </w:p>
        </w:tc>
        <w:tc>
          <w:tcPr>
            <w:tcW w:w="2163" w:type="dxa"/>
            <w:tcBorders>
              <w:top w:val="nil"/>
              <w:left w:val="nil"/>
              <w:bottom w:val="nil"/>
              <w:right w:val="nil"/>
            </w:tcBorders>
          </w:tcPr>
          <w:p w14:paraId="16C1E9E9" w14:textId="77777777" w:rsidR="00B46EE3" w:rsidRPr="00E255CE" w:rsidRDefault="00000000">
            <w:pPr>
              <w:jc w:val="center"/>
              <w:rPr>
                <w:rFonts w:cs="Times New Roman"/>
              </w:rPr>
            </w:pPr>
            <w:r w:rsidRPr="00E255CE">
              <w:rPr>
                <w:rFonts w:cs="Times New Roman"/>
              </w:rPr>
              <w:t>36,17</w:t>
            </w:r>
          </w:p>
        </w:tc>
      </w:tr>
      <w:tr w:rsidR="00B46EE3" w:rsidRPr="00E255CE" w14:paraId="75FF731B" w14:textId="77777777" w:rsidTr="00E255CE">
        <w:trPr>
          <w:trHeight w:val="263"/>
          <w:jc w:val="center"/>
        </w:trPr>
        <w:tc>
          <w:tcPr>
            <w:tcW w:w="3125" w:type="dxa"/>
            <w:tcBorders>
              <w:top w:val="nil"/>
              <w:left w:val="nil"/>
              <w:bottom w:val="single" w:sz="4" w:space="0" w:color="000000"/>
              <w:right w:val="nil"/>
            </w:tcBorders>
          </w:tcPr>
          <w:p w14:paraId="69F75ADD" w14:textId="28BC3DF8" w:rsidR="00B46EE3" w:rsidRPr="00E255CE" w:rsidRDefault="00E255CE">
            <w:pPr>
              <w:rPr>
                <w:rFonts w:cs="Times New Roman"/>
              </w:rPr>
            </w:pPr>
            <w:r w:rsidRPr="00E255CE">
              <w:rPr>
                <w:rFonts w:cs="Times New Roman"/>
              </w:rPr>
              <w:t xml:space="preserve"> 60 </w:t>
            </w:r>
            <w:proofErr w:type="spellStart"/>
            <w:r w:rsidRPr="00E255CE">
              <w:rPr>
                <w:rFonts w:cs="Times New Roman"/>
              </w:rPr>
              <w:t>menit</w:t>
            </w:r>
            <w:proofErr w:type="spellEnd"/>
          </w:p>
        </w:tc>
        <w:tc>
          <w:tcPr>
            <w:tcW w:w="1542" w:type="dxa"/>
            <w:tcBorders>
              <w:top w:val="nil"/>
              <w:left w:val="nil"/>
              <w:bottom w:val="single" w:sz="4" w:space="0" w:color="000000"/>
              <w:right w:val="nil"/>
            </w:tcBorders>
          </w:tcPr>
          <w:p w14:paraId="5165C626" w14:textId="77777777" w:rsidR="00B46EE3" w:rsidRPr="00E255CE" w:rsidRDefault="00000000">
            <w:pPr>
              <w:jc w:val="center"/>
              <w:rPr>
                <w:rFonts w:cs="Times New Roman"/>
              </w:rPr>
            </w:pPr>
            <w:r w:rsidRPr="00E255CE">
              <w:rPr>
                <w:rFonts w:cs="Times New Roman"/>
              </w:rPr>
              <w:t>69</w:t>
            </w:r>
          </w:p>
        </w:tc>
        <w:tc>
          <w:tcPr>
            <w:tcW w:w="2163" w:type="dxa"/>
            <w:tcBorders>
              <w:top w:val="nil"/>
              <w:left w:val="nil"/>
              <w:bottom w:val="single" w:sz="4" w:space="0" w:color="000000"/>
              <w:right w:val="nil"/>
            </w:tcBorders>
          </w:tcPr>
          <w:p w14:paraId="486F6EEE" w14:textId="77777777" w:rsidR="00B46EE3" w:rsidRPr="00E255CE" w:rsidRDefault="00000000">
            <w:pPr>
              <w:jc w:val="center"/>
              <w:rPr>
                <w:rFonts w:cs="Times New Roman"/>
              </w:rPr>
            </w:pPr>
            <w:r w:rsidRPr="00E255CE">
              <w:rPr>
                <w:rFonts w:cs="Times New Roman"/>
              </w:rPr>
              <w:t>63,83</w:t>
            </w:r>
          </w:p>
        </w:tc>
      </w:tr>
      <w:tr w:rsidR="00B46EE3" w:rsidRPr="00E255CE" w14:paraId="48783312" w14:textId="77777777" w:rsidTr="00E255CE">
        <w:trPr>
          <w:trHeight w:val="263"/>
          <w:jc w:val="center"/>
        </w:trPr>
        <w:tc>
          <w:tcPr>
            <w:tcW w:w="3125" w:type="dxa"/>
            <w:tcBorders>
              <w:left w:val="nil"/>
              <w:bottom w:val="nil"/>
              <w:right w:val="nil"/>
            </w:tcBorders>
          </w:tcPr>
          <w:p w14:paraId="63EFBA0F" w14:textId="77777777" w:rsidR="00B46EE3" w:rsidRPr="00E255CE" w:rsidRDefault="00000000">
            <w:pPr>
              <w:rPr>
                <w:rFonts w:cs="Times New Roman"/>
                <w:b/>
              </w:rPr>
            </w:pPr>
            <w:proofErr w:type="spellStart"/>
            <w:r w:rsidRPr="00E255CE">
              <w:rPr>
                <w:rFonts w:cs="Times New Roman"/>
                <w:b/>
              </w:rPr>
              <w:t>Dosis</w:t>
            </w:r>
            <w:proofErr w:type="spellEnd"/>
          </w:p>
        </w:tc>
        <w:tc>
          <w:tcPr>
            <w:tcW w:w="1542" w:type="dxa"/>
            <w:tcBorders>
              <w:left w:val="nil"/>
              <w:bottom w:val="nil"/>
              <w:right w:val="nil"/>
            </w:tcBorders>
          </w:tcPr>
          <w:p w14:paraId="7EC1B6F9" w14:textId="77777777" w:rsidR="00B46EE3" w:rsidRPr="00E255CE" w:rsidRDefault="00B46EE3">
            <w:pPr>
              <w:jc w:val="center"/>
              <w:rPr>
                <w:rFonts w:cs="Times New Roman"/>
              </w:rPr>
            </w:pPr>
          </w:p>
        </w:tc>
        <w:tc>
          <w:tcPr>
            <w:tcW w:w="2163" w:type="dxa"/>
            <w:tcBorders>
              <w:left w:val="nil"/>
              <w:bottom w:val="nil"/>
              <w:right w:val="nil"/>
            </w:tcBorders>
          </w:tcPr>
          <w:p w14:paraId="68957361" w14:textId="77777777" w:rsidR="00B46EE3" w:rsidRPr="00E255CE" w:rsidRDefault="00B46EE3">
            <w:pPr>
              <w:jc w:val="center"/>
              <w:rPr>
                <w:rFonts w:cs="Times New Roman"/>
              </w:rPr>
            </w:pPr>
          </w:p>
        </w:tc>
      </w:tr>
      <w:tr w:rsidR="00B46EE3" w:rsidRPr="00E255CE" w14:paraId="6B41A94E" w14:textId="77777777" w:rsidTr="00E255CE">
        <w:trPr>
          <w:trHeight w:val="263"/>
          <w:jc w:val="center"/>
        </w:trPr>
        <w:tc>
          <w:tcPr>
            <w:tcW w:w="3125" w:type="dxa"/>
            <w:tcBorders>
              <w:top w:val="nil"/>
              <w:left w:val="nil"/>
              <w:bottom w:val="nil"/>
              <w:right w:val="nil"/>
            </w:tcBorders>
          </w:tcPr>
          <w:p w14:paraId="464C036B" w14:textId="5DBCFFDC" w:rsidR="00B46EE3" w:rsidRPr="00E255CE" w:rsidRDefault="00E255CE">
            <w:pPr>
              <w:rPr>
                <w:rFonts w:cs="Times New Roman"/>
              </w:rPr>
            </w:pPr>
            <w:r w:rsidRPr="00E255CE">
              <w:rPr>
                <w:rFonts w:cs="Times New Roman"/>
              </w:rPr>
              <w:t xml:space="preserve"> Ceftriaxone 1 gram</w:t>
            </w:r>
          </w:p>
        </w:tc>
        <w:tc>
          <w:tcPr>
            <w:tcW w:w="1542" w:type="dxa"/>
            <w:tcBorders>
              <w:top w:val="nil"/>
              <w:left w:val="nil"/>
              <w:bottom w:val="nil"/>
              <w:right w:val="nil"/>
            </w:tcBorders>
          </w:tcPr>
          <w:p w14:paraId="6D2BFD74" w14:textId="77777777" w:rsidR="00B46EE3" w:rsidRPr="00E255CE" w:rsidRDefault="00000000">
            <w:pPr>
              <w:jc w:val="center"/>
              <w:rPr>
                <w:rFonts w:cs="Times New Roman"/>
              </w:rPr>
            </w:pPr>
            <w:r w:rsidRPr="00E255CE">
              <w:rPr>
                <w:rFonts w:cs="Times New Roman"/>
              </w:rPr>
              <w:t>33</w:t>
            </w:r>
          </w:p>
        </w:tc>
        <w:tc>
          <w:tcPr>
            <w:tcW w:w="2163" w:type="dxa"/>
            <w:tcBorders>
              <w:top w:val="nil"/>
              <w:left w:val="nil"/>
              <w:bottom w:val="nil"/>
              <w:right w:val="nil"/>
            </w:tcBorders>
          </w:tcPr>
          <w:p w14:paraId="4BA74653" w14:textId="77777777" w:rsidR="00B46EE3" w:rsidRPr="00E255CE" w:rsidRDefault="00000000">
            <w:pPr>
              <w:jc w:val="center"/>
              <w:rPr>
                <w:rFonts w:cs="Times New Roman"/>
              </w:rPr>
            </w:pPr>
            <w:r w:rsidRPr="00E255CE">
              <w:rPr>
                <w:rFonts w:cs="Times New Roman"/>
              </w:rPr>
              <w:t>35,11</w:t>
            </w:r>
          </w:p>
        </w:tc>
      </w:tr>
      <w:tr w:rsidR="00B46EE3" w:rsidRPr="00E255CE" w14:paraId="3A2AA686" w14:textId="77777777" w:rsidTr="00E255CE">
        <w:trPr>
          <w:trHeight w:val="263"/>
          <w:jc w:val="center"/>
        </w:trPr>
        <w:tc>
          <w:tcPr>
            <w:tcW w:w="3125" w:type="dxa"/>
            <w:tcBorders>
              <w:top w:val="nil"/>
              <w:left w:val="nil"/>
              <w:bottom w:val="nil"/>
              <w:right w:val="nil"/>
            </w:tcBorders>
          </w:tcPr>
          <w:p w14:paraId="5108F64B" w14:textId="2E86FFF5" w:rsidR="00B46EE3" w:rsidRPr="00E255CE" w:rsidRDefault="00E255CE">
            <w:pPr>
              <w:rPr>
                <w:rFonts w:cs="Times New Roman"/>
              </w:rPr>
            </w:pPr>
            <w:r w:rsidRPr="00E255CE">
              <w:rPr>
                <w:rFonts w:cs="Times New Roman"/>
              </w:rPr>
              <w:t xml:space="preserve"> Ceftriaxone 2 gram</w:t>
            </w:r>
          </w:p>
        </w:tc>
        <w:tc>
          <w:tcPr>
            <w:tcW w:w="1542" w:type="dxa"/>
            <w:tcBorders>
              <w:top w:val="nil"/>
              <w:left w:val="nil"/>
              <w:bottom w:val="nil"/>
              <w:right w:val="nil"/>
            </w:tcBorders>
          </w:tcPr>
          <w:p w14:paraId="5FDD76E2" w14:textId="77777777" w:rsidR="00B46EE3" w:rsidRPr="00E255CE" w:rsidRDefault="00000000">
            <w:pPr>
              <w:jc w:val="center"/>
              <w:rPr>
                <w:rFonts w:cs="Times New Roman"/>
              </w:rPr>
            </w:pPr>
            <w:r w:rsidRPr="00E255CE">
              <w:rPr>
                <w:rFonts w:cs="Times New Roman"/>
              </w:rPr>
              <w:t>59</w:t>
            </w:r>
          </w:p>
        </w:tc>
        <w:tc>
          <w:tcPr>
            <w:tcW w:w="2163" w:type="dxa"/>
            <w:tcBorders>
              <w:top w:val="nil"/>
              <w:left w:val="nil"/>
              <w:bottom w:val="nil"/>
              <w:right w:val="nil"/>
            </w:tcBorders>
          </w:tcPr>
          <w:p w14:paraId="4E269B8F" w14:textId="77777777" w:rsidR="00B46EE3" w:rsidRPr="00E255CE" w:rsidRDefault="00000000">
            <w:pPr>
              <w:jc w:val="center"/>
              <w:rPr>
                <w:rFonts w:cs="Times New Roman"/>
              </w:rPr>
            </w:pPr>
            <w:r w:rsidRPr="00E255CE">
              <w:rPr>
                <w:rFonts w:cs="Times New Roman"/>
              </w:rPr>
              <w:t>62,77</w:t>
            </w:r>
          </w:p>
        </w:tc>
      </w:tr>
      <w:tr w:rsidR="00B46EE3" w:rsidRPr="00E255CE" w14:paraId="5DF55B19" w14:textId="77777777" w:rsidTr="00E255CE">
        <w:trPr>
          <w:trHeight w:val="263"/>
          <w:jc w:val="center"/>
        </w:trPr>
        <w:tc>
          <w:tcPr>
            <w:tcW w:w="3125" w:type="dxa"/>
            <w:tcBorders>
              <w:top w:val="nil"/>
              <w:left w:val="nil"/>
              <w:right w:val="nil"/>
            </w:tcBorders>
          </w:tcPr>
          <w:p w14:paraId="114339E6" w14:textId="46E1A468" w:rsidR="00B46EE3" w:rsidRPr="00E255CE" w:rsidRDefault="00E255CE">
            <w:pPr>
              <w:rPr>
                <w:rFonts w:cs="Times New Roman"/>
              </w:rPr>
            </w:pPr>
            <w:r w:rsidRPr="00E255CE">
              <w:rPr>
                <w:rFonts w:cs="Times New Roman"/>
              </w:rPr>
              <w:t xml:space="preserve"> Ciprofloxacin 2x500 mg</w:t>
            </w:r>
          </w:p>
        </w:tc>
        <w:tc>
          <w:tcPr>
            <w:tcW w:w="1542" w:type="dxa"/>
            <w:tcBorders>
              <w:top w:val="nil"/>
              <w:left w:val="nil"/>
              <w:right w:val="nil"/>
            </w:tcBorders>
          </w:tcPr>
          <w:p w14:paraId="5B10F083" w14:textId="77777777" w:rsidR="00B46EE3" w:rsidRPr="00E255CE" w:rsidRDefault="00000000">
            <w:pPr>
              <w:jc w:val="center"/>
              <w:rPr>
                <w:rFonts w:cs="Times New Roman"/>
              </w:rPr>
            </w:pPr>
            <w:r w:rsidRPr="00E255CE">
              <w:rPr>
                <w:rFonts w:cs="Times New Roman"/>
              </w:rPr>
              <w:t>2</w:t>
            </w:r>
          </w:p>
        </w:tc>
        <w:tc>
          <w:tcPr>
            <w:tcW w:w="2163" w:type="dxa"/>
            <w:tcBorders>
              <w:top w:val="nil"/>
              <w:left w:val="nil"/>
              <w:right w:val="nil"/>
            </w:tcBorders>
          </w:tcPr>
          <w:p w14:paraId="33E7C821" w14:textId="77777777" w:rsidR="00B46EE3" w:rsidRPr="00E255CE" w:rsidRDefault="00000000">
            <w:pPr>
              <w:jc w:val="center"/>
              <w:rPr>
                <w:rFonts w:cs="Times New Roman"/>
              </w:rPr>
            </w:pPr>
            <w:r w:rsidRPr="00E255CE">
              <w:rPr>
                <w:rFonts w:cs="Times New Roman"/>
              </w:rPr>
              <w:t>2,13</w:t>
            </w:r>
          </w:p>
        </w:tc>
      </w:tr>
    </w:tbl>
    <w:p w14:paraId="28B4C85E" w14:textId="77777777" w:rsidR="00B46EE3" w:rsidRPr="00BC6D6A" w:rsidRDefault="00B46EE3">
      <w:pPr>
        <w:spacing w:line="360" w:lineRule="auto"/>
        <w:rPr>
          <w:rFonts w:cs="Times New Roman"/>
          <w:sz w:val="22"/>
          <w:szCs w:val="22"/>
        </w:rPr>
      </w:pPr>
    </w:p>
    <w:p w14:paraId="3A778269" w14:textId="77777777" w:rsidR="00B46EE3" w:rsidRPr="00BC6D6A" w:rsidRDefault="00000000">
      <w:pPr>
        <w:spacing w:line="360" w:lineRule="auto"/>
        <w:ind w:firstLine="284"/>
        <w:jc w:val="both"/>
        <w:rPr>
          <w:rFonts w:cs="Times New Roman"/>
          <w:sz w:val="22"/>
          <w:szCs w:val="22"/>
        </w:rPr>
      </w:pPr>
      <w:bookmarkStart w:id="5" w:name="_heading=h.tyjcwt" w:colFirst="0" w:colLast="0"/>
      <w:bookmarkEnd w:id="5"/>
      <w:r w:rsidRPr="00BC6D6A">
        <w:rPr>
          <w:rFonts w:cs="Times New Roman"/>
          <w:sz w:val="22"/>
          <w:szCs w:val="22"/>
        </w:rPr>
        <w:tab/>
      </w:r>
      <w:proofErr w:type="spellStart"/>
      <w:r w:rsidRPr="00BC6D6A">
        <w:rPr>
          <w:rFonts w:cs="Times New Roman"/>
          <w:sz w:val="22"/>
          <w:szCs w:val="22"/>
        </w:rPr>
        <w:t>Berdasarkan</w:t>
      </w:r>
      <w:proofErr w:type="spellEnd"/>
      <w:r w:rsidRPr="00BC6D6A">
        <w:rPr>
          <w:rFonts w:cs="Times New Roman"/>
          <w:sz w:val="22"/>
          <w:szCs w:val="22"/>
        </w:rPr>
        <w:t xml:space="preserve"> Tabel 2 </w:t>
      </w:r>
      <w:proofErr w:type="spellStart"/>
      <w:r w:rsidRPr="00BC6D6A">
        <w:rPr>
          <w:rFonts w:cs="Times New Roman"/>
          <w:sz w:val="22"/>
          <w:szCs w:val="22"/>
        </w:rPr>
        <w:t>dari</w:t>
      </w:r>
      <w:proofErr w:type="spellEnd"/>
      <w:r w:rsidRPr="00BC6D6A">
        <w:rPr>
          <w:rFonts w:cs="Times New Roman"/>
          <w:sz w:val="22"/>
          <w:szCs w:val="22"/>
        </w:rPr>
        <w:t xml:space="preserve"> 94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menjalani</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terdapat</w:t>
      </w:r>
      <w:proofErr w:type="spellEnd"/>
      <w:r w:rsidRPr="00BC6D6A">
        <w:rPr>
          <w:rFonts w:cs="Times New Roman"/>
          <w:sz w:val="22"/>
          <w:szCs w:val="22"/>
        </w:rPr>
        <w:t xml:space="preserve"> 2 </w:t>
      </w:r>
      <w:proofErr w:type="spellStart"/>
      <w:r w:rsidRPr="00BC6D6A">
        <w:rPr>
          <w:rFonts w:cs="Times New Roman"/>
          <w:sz w:val="22"/>
          <w:szCs w:val="22"/>
        </w:rPr>
        <w:t>macam</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ceftriaxone dan ciprofloxacin.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yang paling </w:t>
      </w:r>
      <w:proofErr w:type="spellStart"/>
      <w:r w:rsidRPr="00BC6D6A">
        <w:rPr>
          <w:rFonts w:cs="Times New Roman"/>
          <w:sz w:val="22"/>
          <w:szCs w:val="22"/>
        </w:rPr>
        <w:t>banyak</w:t>
      </w:r>
      <w:proofErr w:type="spellEnd"/>
      <w:r w:rsidRPr="00BC6D6A">
        <w:rPr>
          <w:rFonts w:cs="Times New Roman"/>
          <w:sz w:val="22"/>
          <w:szCs w:val="22"/>
        </w:rPr>
        <w:t xml:space="preserve">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ceftriaxone 97,87% dan ciprofloxacin 2,13%. </w:t>
      </w:r>
      <w:proofErr w:type="spellStart"/>
      <w:r w:rsidRPr="00BC6D6A">
        <w:rPr>
          <w:rFonts w:cs="Times New Roman"/>
          <w:sz w:val="22"/>
          <w:szCs w:val="22"/>
        </w:rPr>
        <w:t>Sejalan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yang </w:t>
      </w:r>
      <w:proofErr w:type="spellStart"/>
      <w:r w:rsidRPr="00BC6D6A">
        <w:rPr>
          <w:rFonts w:cs="Times New Roman"/>
          <w:sz w:val="22"/>
          <w:szCs w:val="22"/>
        </w:rPr>
        <w:t>dilakukan</w:t>
      </w:r>
      <w:proofErr w:type="spellEnd"/>
      <w:r w:rsidRPr="00BC6D6A">
        <w:rPr>
          <w:rFonts w:cs="Times New Roman"/>
          <w:sz w:val="22"/>
          <w:szCs w:val="22"/>
        </w:rPr>
        <w:t xml:space="preserve"> oleh Kiki Amelia (2019)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terbanyak</w:t>
      </w:r>
      <w:proofErr w:type="spellEnd"/>
      <w:r w:rsidRPr="00BC6D6A">
        <w:rPr>
          <w:rFonts w:cs="Times New Roman"/>
          <w:sz w:val="22"/>
          <w:szCs w:val="22"/>
        </w:rPr>
        <w:t xml:space="preserve">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w:t>
      </w:r>
      <w:proofErr w:type="spellStart"/>
      <w:r w:rsidRPr="00BC6D6A">
        <w:rPr>
          <w:rFonts w:cs="Times New Roman"/>
          <w:sz w:val="22"/>
          <w:szCs w:val="22"/>
        </w:rPr>
        <w:t>golongan</w:t>
      </w:r>
      <w:proofErr w:type="spellEnd"/>
      <w:r w:rsidRPr="00BC6D6A">
        <w:rPr>
          <w:rFonts w:cs="Times New Roman"/>
          <w:sz w:val="22"/>
          <w:szCs w:val="22"/>
        </w:rPr>
        <w:t xml:space="preserve"> </w:t>
      </w:r>
      <w:proofErr w:type="spellStart"/>
      <w:r w:rsidRPr="00BC6D6A">
        <w:rPr>
          <w:rFonts w:cs="Times New Roman"/>
          <w:sz w:val="22"/>
          <w:szCs w:val="22"/>
        </w:rPr>
        <w:t>sefalosporin</w:t>
      </w:r>
      <w:proofErr w:type="spellEnd"/>
      <w:r w:rsidRPr="00BC6D6A">
        <w:rPr>
          <w:rFonts w:cs="Times New Roman"/>
          <w:sz w:val="22"/>
          <w:szCs w:val="22"/>
        </w:rPr>
        <w:t xml:space="preserve"> </w:t>
      </w:r>
      <w:proofErr w:type="spellStart"/>
      <w:r w:rsidRPr="00BC6D6A">
        <w:rPr>
          <w:rFonts w:cs="Times New Roman"/>
          <w:sz w:val="22"/>
          <w:szCs w:val="22"/>
        </w:rPr>
        <w:t>generasi</w:t>
      </w:r>
      <w:proofErr w:type="spellEnd"/>
      <w:r w:rsidRPr="00BC6D6A">
        <w:rPr>
          <w:rFonts w:cs="Times New Roman"/>
          <w:sz w:val="22"/>
          <w:szCs w:val="22"/>
        </w:rPr>
        <w:t xml:space="preserve"> III </w:t>
      </w:r>
      <w:proofErr w:type="spellStart"/>
      <w:r w:rsidRPr="00BC6D6A">
        <w:rPr>
          <w:rFonts w:cs="Times New Roman"/>
          <w:sz w:val="22"/>
          <w:szCs w:val="22"/>
        </w:rPr>
        <w:t>yaitu</w:t>
      </w:r>
      <w:proofErr w:type="spellEnd"/>
      <w:r w:rsidRPr="00BC6D6A">
        <w:rPr>
          <w:rFonts w:cs="Times New Roman"/>
          <w:sz w:val="22"/>
          <w:szCs w:val="22"/>
        </w:rPr>
        <w:t xml:space="preserve"> ceftriaxone, </w:t>
      </w:r>
      <w:proofErr w:type="spellStart"/>
      <w:r w:rsidRPr="00BC6D6A">
        <w:rPr>
          <w:rFonts w:cs="Times New Roman"/>
          <w:sz w:val="22"/>
          <w:szCs w:val="22"/>
        </w:rPr>
        <w:t>mencapai</w:t>
      </w:r>
      <w:proofErr w:type="spellEnd"/>
      <w:r w:rsidRPr="00BC6D6A">
        <w:rPr>
          <w:rFonts w:cs="Times New Roman"/>
          <w:sz w:val="22"/>
          <w:szCs w:val="22"/>
        </w:rPr>
        <w:t xml:space="preserve"> 96,5%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w:t>
      </w:r>
      <w:proofErr w:type="spellStart"/>
      <w:r w:rsidRPr="00BC6D6A">
        <w:rPr>
          <w:rFonts w:cs="Times New Roman"/>
          <w:sz w:val="22"/>
          <w:szCs w:val="22"/>
        </w:rPr>
        <w:t>rumah</w:t>
      </w:r>
      <w:proofErr w:type="spellEnd"/>
      <w:r w:rsidRPr="00BC6D6A">
        <w:rPr>
          <w:rFonts w:cs="Times New Roman"/>
          <w:sz w:val="22"/>
          <w:szCs w:val="22"/>
        </w:rPr>
        <w:t xml:space="preserve"> </w:t>
      </w:r>
      <w:proofErr w:type="spellStart"/>
      <w:r w:rsidRPr="00BC6D6A">
        <w:rPr>
          <w:rFonts w:cs="Times New Roman"/>
          <w:sz w:val="22"/>
          <w:szCs w:val="22"/>
        </w:rPr>
        <w:t>sakit</w:t>
      </w:r>
      <w:proofErr w:type="spellEnd"/>
      <w:r w:rsidRPr="00BC6D6A">
        <w:rPr>
          <w:rFonts w:cs="Times New Roman"/>
          <w:sz w:val="22"/>
          <w:szCs w:val="22"/>
        </w:rPr>
        <w:t xml:space="preserve"> </w:t>
      </w:r>
      <w:proofErr w:type="spellStart"/>
      <w:r w:rsidRPr="00BC6D6A">
        <w:rPr>
          <w:rFonts w:cs="Times New Roman"/>
          <w:sz w:val="22"/>
          <w:szCs w:val="22"/>
        </w:rPr>
        <w:t>swasta</w:t>
      </w:r>
      <w:proofErr w:type="spellEnd"/>
      <w:r w:rsidRPr="00BC6D6A">
        <w:rPr>
          <w:rFonts w:cs="Times New Roman"/>
          <w:sz w:val="22"/>
          <w:szCs w:val="22"/>
        </w:rPr>
        <w:t xml:space="preserve"> (Amelia &amp; Komar, 2019). Serta </w:t>
      </w:r>
      <w:proofErr w:type="spellStart"/>
      <w:r w:rsidRPr="00BC6D6A">
        <w:rPr>
          <w:rFonts w:cs="Times New Roman"/>
          <w:sz w:val="22"/>
          <w:szCs w:val="22"/>
        </w:rPr>
        <w:t>sejalan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yang </w:t>
      </w:r>
      <w:proofErr w:type="spellStart"/>
      <w:r w:rsidRPr="00BC6D6A">
        <w:rPr>
          <w:rFonts w:cs="Times New Roman"/>
          <w:sz w:val="22"/>
          <w:szCs w:val="22"/>
        </w:rPr>
        <w:t>dilakukan</w:t>
      </w:r>
      <w:proofErr w:type="spellEnd"/>
      <w:r w:rsidRPr="00BC6D6A">
        <w:rPr>
          <w:rFonts w:cs="Times New Roman"/>
          <w:sz w:val="22"/>
          <w:szCs w:val="22"/>
        </w:rPr>
        <w:t xml:space="preserve"> oleh </w:t>
      </w:r>
      <w:proofErr w:type="spellStart"/>
      <w:r w:rsidRPr="00BC6D6A">
        <w:rPr>
          <w:rFonts w:cs="Times New Roman"/>
          <w:sz w:val="22"/>
          <w:szCs w:val="22"/>
        </w:rPr>
        <w:t>Fitratiara</w:t>
      </w:r>
      <w:proofErr w:type="spellEnd"/>
      <w:r w:rsidRPr="00BC6D6A">
        <w:rPr>
          <w:rFonts w:cs="Times New Roman"/>
          <w:sz w:val="22"/>
          <w:szCs w:val="22"/>
        </w:rPr>
        <w:t xml:space="preserve"> (2021)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terbanyak</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adalah</w:t>
      </w:r>
      <w:proofErr w:type="spellEnd"/>
      <w:r w:rsidRPr="00BC6D6A">
        <w:rPr>
          <w:rFonts w:cs="Times New Roman"/>
          <w:sz w:val="22"/>
          <w:szCs w:val="22"/>
        </w:rPr>
        <w:t xml:space="preserve"> ceftriaxone, </w:t>
      </w:r>
      <w:proofErr w:type="spellStart"/>
      <w:r w:rsidRPr="00BC6D6A">
        <w:rPr>
          <w:rFonts w:cs="Times New Roman"/>
          <w:sz w:val="22"/>
          <w:szCs w:val="22"/>
        </w:rPr>
        <w:t>sebanyak</w:t>
      </w:r>
      <w:proofErr w:type="spellEnd"/>
      <w:r w:rsidRPr="00BC6D6A">
        <w:rPr>
          <w:rFonts w:cs="Times New Roman"/>
          <w:sz w:val="22"/>
          <w:szCs w:val="22"/>
        </w:rPr>
        <w:t xml:space="preserve"> 98,2% (</w:t>
      </w:r>
      <w:proofErr w:type="spellStart"/>
      <w:r w:rsidRPr="00BC6D6A">
        <w:rPr>
          <w:rFonts w:cs="Times New Roman"/>
          <w:sz w:val="22"/>
          <w:szCs w:val="22"/>
        </w:rPr>
        <w:t>Fitratiara</w:t>
      </w:r>
      <w:proofErr w:type="spellEnd"/>
      <w:r w:rsidRPr="00BC6D6A">
        <w:rPr>
          <w:rFonts w:cs="Times New Roman"/>
          <w:sz w:val="22"/>
          <w:szCs w:val="22"/>
        </w:rPr>
        <w:t xml:space="preserve"> et al., 2022). </w:t>
      </w:r>
    </w:p>
    <w:p w14:paraId="15D2BBD5" w14:textId="77777777" w:rsidR="00B46EE3" w:rsidRDefault="00000000">
      <w:pPr>
        <w:spacing w:line="360" w:lineRule="auto"/>
        <w:ind w:firstLine="284"/>
        <w:jc w:val="both"/>
        <w:rPr>
          <w:rFonts w:cs="Times New Roman"/>
          <w:sz w:val="22"/>
          <w:szCs w:val="22"/>
        </w:rPr>
      </w:pPr>
      <w:r w:rsidRPr="00BC6D6A">
        <w:rPr>
          <w:rFonts w:cs="Times New Roman"/>
          <w:sz w:val="22"/>
          <w:szCs w:val="22"/>
        </w:rPr>
        <w:t xml:space="preserve">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obat</w:t>
      </w:r>
      <w:proofErr w:type="spellEnd"/>
      <w:r w:rsidRPr="00BC6D6A">
        <w:rPr>
          <w:rFonts w:cs="Times New Roman"/>
          <w:sz w:val="22"/>
          <w:szCs w:val="22"/>
        </w:rPr>
        <w:t xml:space="preserve"> </w:t>
      </w:r>
      <w:proofErr w:type="spellStart"/>
      <w:r w:rsidRPr="00BC6D6A">
        <w:rPr>
          <w:rFonts w:cs="Times New Roman"/>
          <w:sz w:val="22"/>
          <w:szCs w:val="22"/>
        </w:rPr>
        <w:t>didistribusikan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rute</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(IV) 100%,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w:t>
      </w:r>
      <w:proofErr w:type="spellStart"/>
      <w:r w:rsidRPr="00BC6D6A">
        <w:rPr>
          <w:rFonts w:cs="Times New Roman"/>
          <w:sz w:val="22"/>
          <w:szCs w:val="22"/>
        </w:rPr>
        <w:t>dipilih</w:t>
      </w:r>
      <w:proofErr w:type="spellEnd"/>
      <w:r w:rsidRPr="00BC6D6A">
        <w:rPr>
          <w:rFonts w:cs="Times New Roman"/>
          <w:sz w:val="22"/>
          <w:szCs w:val="22"/>
        </w:rPr>
        <w:t xml:space="preserve"> </w:t>
      </w:r>
      <w:proofErr w:type="spellStart"/>
      <w:r w:rsidRPr="00BC6D6A">
        <w:rPr>
          <w:rFonts w:cs="Times New Roman"/>
          <w:sz w:val="22"/>
          <w:szCs w:val="22"/>
        </w:rPr>
        <w:t>karena</w:t>
      </w:r>
      <w:proofErr w:type="spellEnd"/>
      <w:r w:rsidRPr="00BC6D6A">
        <w:rPr>
          <w:rFonts w:cs="Times New Roman"/>
          <w:sz w:val="22"/>
          <w:szCs w:val="22"/>
        </w:rPr>
        <w:t xml:space="preserve"> </w:t>
      </w:r>
      <w:proofErr w:type="spellStart"/>
      <w:r w:rsidRPr="00BC6D6A">
        <w:rPr>
          <w:rFonts w:cs="Times New Roman"/>
          <w:sz w:val="22"/>
          <w:szCs w:val="22"/>
        </w:rPr>
        <w:t>memiliki</w:t>
      </w:r>
      <w:proofErr w:type="spellEnd"/>
      <w:r w:rsidRPr="00BC6D6A">
        <w:rPr>
          <w:rFonts w:cs="Times New Roman"/>
          <w:sz w:val="22"/>
          <w:szCs w:val="22"/>
        </w:rPr>
        <w:t xml:space="preserve"> </w:t>
      </w:r>
      <w:proofErr w:type="spellStart"/>
      <w:r w:rsidRPr="00BC6D6A">
        <w:rPr>
          <w:rFonts w:cs="Times New Roman"/>
          <w:sz w:val="22"/>
          <w:szCs w:val="22"/>
        </w:rPr>
        <w:t>keuntungan</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melalui</w:t>
      </w:r>
      <w:proofErr w:type="spellEnd"/>
      <w:r w:rsidRPr="00BC6D6A">
        <w:rPr>
          <w:rFonts w:cs="Times New Roman"/>
          <w:sz w:val="22"/>
          <w:szCs w:val="22"/>
        </w:rPr>
        <w:t xml:space="preserve"> </w:t>
      </w:r>
      <w:proofErr w:type="spellStart"/>
      <w:r w:rsidRPr="00BC6D6A">
        <w:rPr>
          <w:rFonts w:cs="Times New Roman"/>
          <w:sz w:val="22"/>
          <w:szCs w:val="22"/>
        </w:rPr>
        <w:t>tahap</w:t>
      </w:r>
      <w:proofErr w:type="spellEnd"/>
      <w:r w:rsidRPr="00BC6D6A">
        <w:rPr>
          <w:rFonts w:cs="Times New Roman"/>
          <w:sz w:val="22"/>
          <w:szCs w:val="22"/>
        </w:rPr>
        <w:t xml:space="preserve"> </w:t>
      </w:r>
      <w:proofErr w:type="spellStart"/>
      <w:r w:rsidRPr="00BC6D6A">
        <w:rPr>
          <w:rFonts w:cs="Times New Roman"/>
          <w:sz w:val="22"/>
          <w:szCs w:val="22"/>
        </w:rPr>
        <w:t>absorpsi</w:t>
      </w:r>
      <w:proofErr w:type="spellEnd"/>
      <w:r w:rsidRPr="00BC6D6A">
        <w:rPr>
          <w:rFonts w:cs="Times New Roman"/>
          <w:sz w:val="22"/>
          <w:szCs w:val="22"/>
        </w:rPr>
        <w:t xml:space="preserve">, </w:t>
      </w:r>
      <w:proofErr w:type="spellStart"/>
      <w:r w:rsidRPr="00BC6D6A">
        <w:rPr>
          <w:rFonts w:cs="Times New Roman"/>
          <w:sz w:val="22"/>
          <w:szCs w:val="22"/>
        </w:rPr>
        <w:t>sehingga</w:t>
      </w:r>
      <w:proofErr w:type="spellEnd"/>
      <w:r w:rsidRPr="00BC6D6A">
        <w:rPr>
          <w:rFonts w:cs="Times New Roman"/>
          <w:sz w:val="22"/>
          <w:szCs w:val="22"/>
        </w:rPr>
        <w:t xml:space="preserve"> </w:t>
      </w:r>
      <w:proofErr w:type="spellStart"/>
      <w:r w:rsidRPr="00BC6D6A">
        <w:rPr>
          <w:rFonts w:cs="Times New Roman"/>
          <w:sz w:val="22"/>
          <w:szCs w:val="22"/>
        </w:rPr>
        <w:t>kadar</w:t>
      </w:r>
      <w:proofErr w:type="spellEnd"/>
      <w:r w:rsidRPr="00BC6D6A">
        <w:rPr>
          <w:rFonts w:cs="Times New Roman"/>
          <w:sz w:val="22"/>
          <w:szCs w:val="22"/>
        </w:rPr>
        <w:t xml:space="preserve"> </w:t>
      </w:r>
      <w:proofErr w:type="spellStart"/>
      <w:r w:rsidRPr="00BC6D6A">
        <w:rPr>
          <w:rFonts w:cs="Times New Roman"/>
          <w:sz w:val="22"/>
          <w:szCs w:val="22"/>
        </w:rPr>
        <w:t>obat</w:t>
      </w:r>
      <w:proofErr w:type="spellEnd"/>
      <w:r w:rsidRPr="00BC6D6A">
        <w:rPr>
          <w:rFonts w:cs="Times New Roman"/>
          <w:sz w:val="22"/>
          <w:szCs w:val="22"/>
        </w:rPr>
        <w:t xml:space="preserve"> di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darah</w:t>
      </w:r>
      <w:proofErr w:type="spellEnd"/>
      <w:r w:rsidRPr="00BC6D6A">
        <w:rPr>
          <w:rFonts w:cs="Times New Roman"/>
          <w:sz w:val="22"/>
          <w:szCs w:val="22"/>
        </w:rPr>
        <w:t xml:space="preserve"> </w:t>
      </w:r>
      <w:proofErr w:type="spellStart"/>
      <w:r w:rsidRPr="00BC6D6A">
        <w:rPr>
          <w:rFonts w:cs="Times New Roman"/>
          <w:sz w:val="22"/>
          <w:szCs w:val="22"/>
        </w:rPr>
        <w:t>dapat</w:t>
      </w:r>
      <w:proofErr w:type="spellEnd"/>
      <w:r w:rsidRPr="00BC6D6A">
        <w:rPr>
          <w:rFonts w:cs="Times New Roman"/>
          <w:sz w:val="22"/>
          <w:szCs w:val="22"/>
        </w:rPr>
        <w:t xml:space="preserve"> </w:t>
      </w:r>
      <w:proofErr w:type="spellStart"/>
      <w:r w:rsidRPr="00BC6D6A">
        <w:rPr>
          <w:rFonts w:cs="Times New Roman"/>
          <w:sz w:val="22"/>
          <w:szCs w:val="22"/>
        </w:rPr>
        <w:t>diperoleh</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cepat</w:t>
      </w:r>
      <w:proofErr w:type="spellEnd"/>
      <w:r w:rsidRPr="00BC6D6A">
        <w:rPr>
          <w:rFonts w:cs="Times New Roman"/>
          <w:sz w:val="22"/>
          <w:szCs w:val="22"/>
        </w:rPr>
        <w:t xml:space="preserve"> dan </w:t>
      </w:r>
      <w:proofErr w:type="spellStart"/>
      <w:r w:rsidRPr="00BC6D6A">
        <w:rPr>
          <w:rFonts w:cs="Times New Roman"/>
          <w:sz w:val="22"/>
          <w:szCs w:val="22"/>
        </w:rPr>
        <w:t>tepat</w:t>
      </w:r>
      <w:proofErr w:type="spellEnd"/>
      <w:r w:rsidRPr="00BC6D6A">
        <w:rPr>
          <w:rFonts w:cs="Times New Roman"/>
          <w:sz w:val="22"/>
          <w:szCs w:val="22"/>
        </w:rPr>
        <w:t xml:space="preserve"> (</w:t>
      </w:r>
      <w:proofErr w:type="spellStart"/>
      <w:r w:rsidRPr="00BC6D6A">
        <w:rPr>
          <w:rFonts w:cs="Times New Roman"/>
          <w:sz w:val="22"/>
          <w:szCs w:val="22"/>
        </w:rPr>
        <w:t>Ganuswara</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Rusdiana</w:t>
      </w:r>
      <w:proofErr w:type="spellEnd"/>
      <w:r w:rsidRPr="00BC6D6A">
        <w:rPr>
          <w:rFonts w:cs="Times New Roman"/>
          <w:sz w:val="22"/>
          <w:szCs w:val="22"/>
        </w:rPr>
        <w:t xml:space="preserve">, 2014). </w:t>
      </w:r>
    </w:p>
    <w:p w14:paraId="507C8B02" w14:textId="14852D27" w:rsidR="00B46EE3" w:rsidRPr="00BC6D6A" w:rsidRDefault="00E255CE" w:rsidP="00E255CE">
      <w:pPr>
        <w:spacing w:line="360" w:lineRule="auto"/>
        <w:ind w:firstLine="284"/>
        <w:jc w:val="both"/>
        <w:rPr>
          <w:rFonts w:cs="Times New Roman"/>
          <w:sz w:val="22"/>
          <w:szCs w:val="22"/>
        </w:rPr>
      </w:pPr>
      <w:proofErr w:type="spellStart"/>
      <w:r w:rsidRPr="00E255CE">
        <w:rPr>
          <w:rFonts w:cs="Times New Roman"/>
          <w:sz w:val="22"/>
          <w:szCs w:val="22"/>
        </w:rPr>
        <w:t>Secara</w:t>
      </w:r>
      <w:proofErr w:type="spellEnd"/>
      <w:r w:rsidRPr="00E255CE">
        <w:rPr>
          <w:rFonts w:cs="Times New Roman"/>
          <w:sz w:val="22"/>
          <w:szCs w:val="22"/>
        </w:rPr>
        <w:t xml:space="preserve"> </w:t>
      </w:r>
      <w:proofErr w:type="spellStart"/>
      <w:r w:rsidRPr="00E255CE">
        <w:rPr>
          <w:rFonts w:cs="Times New Roman"/>
          <w:sz w:val="22"/>
          <w:szCs w:val="22"/>
        </w:rPr>
        <w:t>keseluruhan</w:t>
      </w:r>
      <w:proofErr w:type="spellEnd"/>
      <w:r w:rsidRPr="00E255CE">
        <w:rPr>
          <w:rFonts w:cs="Times New Roman"/>
          <w:sz w:val="22"/>
          <w:szCs w:val="22"/>
        </w:rPr>
        <w:t xml:space="preserve"> pada </w:t>
      </w:r>
      <w:proofErr w:type="spellStart"/>
      <w:r w:rsidRPr="00E255CE">
        <w:rPr>
          <w:rFonts w:cs="Times New Roman"/>
          <w:sz w:val="22"/>
          <w:szCs w:val="22"/>
        </w:rPr>
        <w:t>penelitian</w:t>
      </w:r>
      <w:proofErr w:type="spellEnd"/>
      <w:r w:rsidRPr="00E255CE">
        <w:rPr>
          <w:rFonts w:cs="Times New Roman"/>
          <w:sz w:val="22"/>
          <w:szCs w:val="22"/>
        </w:rPr>
        <w:t xml:space="preserve"> </w:t>
      </w:r>
      <w:proofErr w:type="spellStart"/>
      <w:r w:rsidRPr="00E255CE">
        <w:rPr>
          <w:rFonts w:cs="Times New Roman"/>
          <w:sz w:val="22"/>
          <w:szCs w:val="22"/>
        </w:rPr>
        <w:t>ini</w:t>
      </w:r>
      <w:proofErr w:type="spellEnd"/>
      <w:r w:rsidRPr="00E255CE">
        <w:rPr>
          <w:rFonts w:cs="Times New Roman"/>
          <w:sz w:val="22"/>
          <w:szCs w:val="22"/>
        </w:rPr>
        <w:t xml:space="preserve"> </w:t>
      </w:r>
      <w:proofErr w:type="spellStart"/>
      <w:r w:rsidRPr="00E255CE">
        <w:rPr>
          <w:rFonts w:cs="Times New Roman"/>
          <w:sz w:val="22"/>
          <w:szCs w:val="22"/>
        </w:rPr>
        <w:t>waktu</w:t>
      </w:r>
      <w:proofErr w:type="spellEnd"/>
      <w:r w:rsidRPr="00E255CE">
        <w:rPr>
          <w:rFonts w:cs="Times New Roman"/>
          <w:sz w:val="22"/>
          <w:szCs w:val="22"/>
        </w:rPr>
        <w:t xml:space="preserve"> </w:t>
      </w:r>
      <w:proofErr w:type="spellStart"/>
      <w:r w:rsidRPr="00E255CE">
        <w:rPr>
          <w:rFonts w:cs="Times New Roman"/>
          <w:sz w:val="22"/>
          <w:szCs w:val="22"/>
        </w:rPr>
        <w:t>pemberian</w:t>
      </w:r>
      <w:proofErr w:type="spellEnd"/>
      <w:r w:rsidRPr="00E255CE">
        <w:rPr>
          <w:rFonts w:cs="Times New Roman"/>
          <w:sz w:val="22"/>
          <w:szCs w:val="22"/>
        </w:rPr>
        <w:t xml:space="preserve"> </w:t>
      </w:r>
      <w:proofErr w:type="spellStart"/>
      <w:r w:rsidRPr="00E255CE">
        <w:rPr>
          <w:rFonts w:cs="Times New Roman"/>
          <w:sz w:val="22"/>
          <w:szCs w:val="22"/>
        </w:rPr>
        <w:t>antibiotik</w:t>
      </w:r>
      <w:proofErr w:type="spellEnd"/>
      <w:r w:rsidRPr="00E255CE">
        <w:rPr>
          <w:rFonts w:cs="Times New Roman"/>
          <w:sz w:val="22"/>
          <w:szCs w:val="22"/>
        </w:rPr>
        <w:t xml:space="preserve"> </w:t>
      </w:r>
      <w:proofErr w:type="spellStart"/>
      <w:r w:rsidRPr="00E255CE">
        <w:rPr>
          <w:rFonts w:cs="Times New Roman"/>
          <w:sz w:val="22"/>
          <w:szCs w:val="22"/>
        </w:rPr>
        <w:t>profilaksis</w:t>
      </w:r>
      <w:proofErr w:type="spellEnd"/>
      <w:r w:rsidRPr="00E255CE">
        <w:rPr>
          <w:rFonts w:cs="Times New Roman"/>
          <w:sz w:val="22"/>
          <w:szCs w:val="22"/>
        </w:rPr>
        <w:t xml:space="preserve"> </w:t>
      </w:r>
      <w:proofErr w:type="spellStart"/>
      <w:r w:rsidRPr="00E255CE">
        <w:rPr>
          <w:rFonts w:cs="Times New Roman"/>
          <w:sz w:val="22"/>
          <w:szCs w:val="22"/>
        </w:rPr>
        <w:t>tepat</w:t>
      </w:r>
      <w:proofErr w:type="spellEnd"/>
      <w:r w:rsidRPr="00E255CE">
        <w:rPr>
          <w:rFonts w:cs="Times New Roman"/>
          <w:sz w:val="22"/>
          <w:szCs w:val="22"/>
        </w:rPr>
        <w:t xml:space="preserve"> </w:t>
      </w:r>
      <w:proofErr w:type="spellStart"/>
      <w:r w:rsidRPr="00E255CE">
        <w:rPr>
          <w:rFonts w:cs="Times New Roman"/>
          <w:sz w:val="22"/>
          <w:szCs w:val="22"/>
        </w:rPr>
        <w:t>waktu</w:t>
      </w:r>
      <w:proofErr w:type="spellEnd"/>
      <w:r w:rsidRPr="00E255CE">
        <w:rPr>
          <w:rFonts w:cs="Times New Roman"/>
          <w:sz w:val="22"/>
          <w:szCs w:val="22"/>
        </w:rPr>
        <w:t xml:space="preserve"> </w:t>
      </w:r>
      <w:proofErr w:type="spellStart"/>
      <w:r w:rsidRPr="00E255CE">
        <w:rPr>
          <w:rFonts w:cs="Times New Roman"/>
          <w:sz w:val="22"/>
          <w:szCs w:val="22"/>
        </w:rPr>
        <w:t>yaitu</w:t>
      </w:r>
      <w:proofErr w:type="spellEnd"/>
      <w:r w:rsidRPr="00E255CE">
        <w:rPr>
          <w:rFonts w:cs="Times New Roman"/>
          <w:sz w:val="22"/>
          <w:szCs w:val="22"/>
        </w:rPr>
        <w:t xml:space="preserve"> ≥ 30 </w:t>
      </w:r>
      <w:proofErr w:type="spellStart"/>
      <w:r w:rsidRPr="00E255CE">
        <w:rPr>
          <w:rFonts w:cs="Times New Roman"/>
          <w:sz w:val="22"/>
          <w:szCs w:val="22"/>
        </w:rPr>
        <w:t>menit</w:t>
      </w:r>
      <w:proofErr w:type="spellEnd"/>
      <w:r w:rsidRPr="00E255CE">
        <w:rPr>
          <w:rFonts w:cs="Times New Roman"/>
          <w:sz w:val="22"/>
          <w:szCs w:val="22"/>
        </w:rPr>
        <w:t xml:space="preserve"> </w:t>
      </w:r>
      <w:proofErr w:type="spellStart"/>
      <w:r w:rsidRPr="00E255CE">
        <w:rPr>
          <w:rFonts w:cs="Times New Roman"/>
          <w:sz w:val="22"/>
          <w:szCs w:val="22"/>
        </w:rPr>
        <w:t>sebelum</w:t>
      </w:r>
      <w:proofErr w:type="spellEnd"/>
      <w:r w:rsidRPr="00E255CE">
        <w:rPr>
          <w:rFonts w:cs="Times New Roman"/>
          <w:sz w:val="22"/>
          <w:szCs w:val="22"/>
        </w:rPr>
        <w:t xml:space="preserve"> </w:t>
      </w:r>
      <w:proofErr w:type="spellStart"/>
      <w:r w:rsidRPr="00E255CE">
        <w:rPr>
          <w:rFonts w:cs="Times New Roman"/>
          <w:sz w:val="22"/>
          <w:szCs w:val="22"/>
        </w:rPr>
        <w:t>tindakan</w:t>
      </w:r>
      <w:proofErr w:type="spellEnd"/>
      <w:r w:rsidRPr="00E255CE">
        <w:rPr>
          <w:rFonts w:cs="Times New Roman"/>
          <w:sz w:val="22"/>
          <w:szCs w:val="22"/>
        </w:rPr>
        <w:t xml:space="preserve"> </w:t>
      </w:r>
      <w:proofErr w:type="spellStart"/>
      <w:r w:rsidRPr="00E255CE">
        <w:rPr>
          <w:rFonts w:cs="Times New Roman"/>
          <w:sz w:val="22"/>
          <w:szCs w:val="22"/>
        </w:rPr>
        <w:t>operasi</w:t>
      </w:r>
      <w:proofErr w:type="spellEnd"/>
      <w:r w:rsidRPr="00E255CE">
        <w:rPr>
          <w:rFonts w:cs="Times New Roman"/>
          <w:sz w:val="22"/>
          <w:szCs w:val="22"/>
        </w:rPr>
        <w:t xml:space="preserve"> 36,17% dan 60 </w:t>
      </w:r>
      <w:proofErr w:type="spellStart"/>
      <w:r w:rsidRPr="00E255CE">
        <w:rPr>
          <w:rFonts w:cs="Times New Roman"/>
          <w:sz w:val="22"/>
          <w:szCs w:val="22"/>
        </w:rPr>
        <w:t>menit</w:t>
      </w:r>
      <w:proofErr w:type="spellEnd"/>
      <w:r w:rsidRPr="00E255CE">
        <w:rPr>
          <w:rFonts w:cs="Times New Roman"/>
          <w:sz w:val="22"/>
          <w:szCs w:val="22"/>
        </w:rPr>
        <w:t xml:space="preserve"> </w:t>
      </w:r>
      <w:proofErr w:type="spellStart"/>
      <w:r w:rsidRPr="00E255CE">
        <w:rPr>
          <w:rFonts w:cs="Times New Roman"/>
          <w:sz w:val="22"/>
          <w:szCs w:val="22"/>
        </w:rPr>
        <w:t>sebelum</w:t>
      </w:r>
      <w:proofErr w:type="spellEnd"/>
      <w:r w:rsidRPr="00E255CE">
        <w:rPr>
          <w:rFonts w:cs="Times New Roman"/>
          <w:sz w:val="22"/>
          <w:szCs w:val="22"/>
        </w:rPr>
        <w:t xml:space="preserve"> </w:t>
      </w:r>
      <w:proofErr w:type="spellStart"/>
      <w:r w:rsidRPr="00E255CE">
        <w:rPr>
          <w:rFonts w:cs="Times New Roman"/>
          <w:sz w:val="22"/>
          <w:szCs w:val="22"/>
        </w:rPr>
        <w:t>tindakan</w:t>
      </w:r>
      <w:proofErr w:type="spellEnd"/>
      <w:r w:rsidRPr="00E255CE">
        <w:rPr>
          <w:rFonts w:cs="Times New Roman"/>
          <w:sz w:val="22"/>
          <w:szCs w:val="22"/>
        </w:rPr>
        <w:t xml:space="preserve"> </w:t>
      </w:r>
      <w:proofErr w:type="spellStart"/>
      <w:r w:rsidRPr="00E255CE">
        <w:rPr>
          <w:rFonts w:cs="Times New Roman"/>
          <w:sz w:val="22"/>
          <w:szCs w:val="22"/>
        </w:rPr>
        <w:t>operasi</w:t>
      </w:r>
      <w:proofErr w:type="spellEnd"/>
      <w:r w:rsidRPr="00E255CE">
        <w:rPr>
          <w:rFonts w:cs="Times New Roman"/>
          <w:sz w:val="22"/>
          <w:szCs w:val="22"/>
        </w:rPr>
        <w:t xml:space="preserve"> 63,83</w:t>
      </w:r>
      <w:proofErr w:type="gramStart"/>
      <w:r w:rsidRPr="00E255CE">
        <w:rPr>
          <w:rFonts w:cs="Times New Roman"/>
          <w:sz w:val="22"/>
          <w:szCs w:val="22"/>
        </w:rPr>
        <w:t>% ,</w:t>
      </w:r>
      <w:proofErr w:type="gramEnd"/>
      <w:r w:rsidRPr="00E255CE">
        <w:rPr>
          <w:rFonts w:cs="Times New Roman"/>
          <w:sz w:val="22"/>
          <w:szCs w:val="22"/>
        </w:rPr>
        <w:t xml:space="preserve"> </w:t>
      </w:r>
      <w:proofErr w:type="spellStart"/>
      <w:r w:rsidRPr="00E255CE">
        <w:rPr>
          <w:rFonts w:cs="Times New Roman"/>
          <w:sz w:val="22"/>
          <w:szCs w:val="22"/>
        </w:rPr>
        <w:t>sehingga</w:t>
      </w:r>
      <w:proofErr w:type="spellEnd"/>
      <w:r w:rsidRPr="00E255CE">
        <w:rPr>
          <w:rFonts w:cs="Times New Roman"/>
          <w:sz w:val="22"/>
          <w:szCs w:val="22"/>
        </w:rPr>
        <w:t xml:space="preserve"> </w:t>
      </w:r>
      <w:proofErr w:type="spellStart"/>
      <w:r w:rsidRPr="00E255CE">
        <w:rPr>
          <w:rFonts w:cs="Times New Roman"/>
          <w:sz w:val="22"/>
          <w:szCs w:val="22"/>
        </w:rPr>
        <w:t>waktu</w:t>
      </w:r>
      <w:proofErr w:type="spellEnd"/>
      <w:r w:rsidRPr="00E255CE">
        <w:rPr>
          <w:rFonts w:cs="Times New Roman"/>
          <w:sz w:val="22"/>
          <w:szCs w:val="22"/>
        </w:rPr>
        <w:t xml:space="preserve"> </w:t>
      </w:r>
      <w:proofErr w:type="spellStart"/>
      <w:r w:rsidRPr="00E255CE">
        <w:rPr>
          <w:rFonts w:cs="Times New Roman"/>
          <w:sz w:val="22"/>
          <w:szCs w:val="22"/>
        </w:rPr>
        <w:t>pemberian</w:t>
      </w:r>
      <w:proofErr w:type="spellEnd"/>
      <w:r w:rsidRPr="00E255CE">
        <w:rPr>
          <w:rFonts w:cs="Times New Roman"/>
          <w:sz w:val="22"/>
          <w:szCs w:val="22"/>
        </w:rPr>
        <w:t xml:space="preserve"> </w:t>
      </w:r>
      <w:proofErr w:type="spellStart"/>
      <w:r w:rsidRPr="00E255CE">
        <w:rPr>
          <w:rFonts w:cs="Times New Roman"/>
          <w:sz w:val="22"/>
          <w:szCs w:val="22"/>
        </w:rPr>
        <w:t>antibiotik</w:t>
      </w:r>
      <w:proofErr w:type="spellEnd"/>
      <w:r w:rsidRPr="00E255CE">
        <w:rPr>
          <w:rFonts w:cs="Times New Roman"/>
          <w:sz w:val="22"/>
          <w:szCs w:val="22"/>
        </w:rPr>
        <w:t xml:space="preserve"> </w:t>
      </w:r>
      <w:proofErr w:type="spellStart"/>
      <w:r w:rsidRPr="00E255CE">
        <w:rPr>
          <w:rFonts w:cs="Times New Roman"/>
          <w:sz w:val="22"/>
          <w:szCs w:val="22"/>
        </w:rPr>
        <w:t>profilaksis</w:t>
      </w:r>
      <w:proofErr w:type="spellEnd"/>
      <w:r w:rsidRPr="00E255CE">
        <w:rPr>
          <w:rFonts w:cs="Times New Roman"/>
          <w:sz w:val="22"/>
          <w:szCs w:val="22"/>
        </w:rPr>
        <w:t xml:space="preserve"> </w:t>
      </w:r>
      <w:proofErr w:type="spellStart"/>
      <w:r w:rsidRPr="00E255CE">
        <w:rPr>
          <w:rFonts w:cs="Times New Roman"/>
          <w:sz w:val="22"/>
          <w:szCs w:val="22"/>
        </w:rPr>
        <w:t>bisa</w:t>
      </w:r>
      <w:proofErr w:type="spellEnd"/>
      <w:r w:rsidRPr="00E255CE">
        <w:rPr>
          <w:rFonts w:cs="Times New Roman"/>
          <w:sz w:val="22"/>
          <w:szCs w:val="22"/>
        </w:rPr>
        <w:t xml:space="preserve"> </w:t>
      </w:r>
      <w:proofErr w:type="spellStart"/>
      <w:r w:rsidRPr="00E255CE">
        <w:rPr>
          <w:rFonts w:cs="Times New Roman"/>
          <w:sz w:val="22"/>
          <w:szCs w:val="22"/>
        </w:rPr>
        <w:t>mencapai</w:t>
      </w:r>
      <w:proofErr w:type="spellEnd"/>
      <w:r w:rsidRPr="00E255CE">
        <w:rPr>
          <w:rFonts w:cs="Times New Roman"/>
          <w:sz w:val="22"/>
          <w:szCs w:val="22"/>
        </w:rPr>
        <w:t xml:space="preserve"> </w:t>
      </w:r>
      <w:proofErr w:type="spellStart"/>
      <w:r w:rsidRPr="00E255CE">
        <w:rPr>
          <w:rFonts w:cs="Times New Roman"/>
          <w:sz w:val="22"/>
          <w:szCs w:val="22"/>
        </w:rPr>
        <w:t>konsentrasi</w:t>
      </w:r>
      <w:proofErr w:type="spellEnd"/>
      <w:r w:rsidRPr="00E255CE">
        <w:rPr>
          <w:rFonts w:cs="Times New Roman"/>
          <w:sz w:val="22"/>
          <w:szCs w:val="22"/>
        </w:rPr>
        <w:t xml:space="preserve"> yang </w:t>
      </w:r>
      <w:proofErr w:type="spellStart"/>
      <w:r w:rsidRPr="00E255CE">
        <w:rPr>
          <w:rFonts w:cs="Times New Roman"/>
          <w:sz w:val="22"/>
          <w:szCs w:val="22"/>
        </w:rPr>
        <w:t>tepat</w:t>
      </w:r>
      <w:proofErr w:type="spellEnd"/>
      <w:r w:rsidRPr="00E255CE">
        <w:rPr>
          <w:rFonts w:cs="Times New Roman"/>
          <w:sz w:val="22"/>
          <w:szCs w:val="22"/>
        </w:rPr>
        <w:t xml:space="preserve"> </w:t>
      </w:r>
      <w:proofErr w:type="spellStart"/>
      <w:r w:rsidRPr="00E255CE">
        <w:rPr>
          <w:rFonts w:cs="Times New Roman"/>
          <w:sz w:val="22"/>
          <w:szCs w:val="22"/>
        </w:rPr>
        <w:t>serta</w:t>
      </w:r>
      <w:proofErr w:type="spellEnd"/>
      <w:r w:rsidRPr="00E255CE">
        <w:rPr>
          <w:rFonts w:cs="Times New Roman"/>
          <w:sz w:val="22"/>
          <w:szCs w:val="22"/>
        </w:rPr>
        <w:t xml:space="preserve"> </w:t>
      </w:r>
      <w:proofErr w:type="spellStart"/>
      <w:r w:rsidRPr="00E255CE">
        <w:rPr>
          <w:rFonts w:cs="Times New Roman"/>
          <w:sz w:val="22"/>
          <w:szCs w:val="22"/>
        </w:rPr>
        <w:t>dengan</w:t>
      </w:r>
      <w:proofErr w:type="spellEnd"/>
      <w:r w:rsidRPr="00E255CE">
        <w:rPr>
          <w:rFonts w:cs="Times New Roman"/>
          <w:sz w:val="22"/>
          <w:szCs w:val="22"/>
        </w:rPr>
        <w:t xml:space="preserve"> </w:t>
      </w:r>
      <w:proofErr w:type="spellStart"/>
      <w:r w:rsidRPr="00E255CE">
        <w:rPr>
          <w:rFonts w:cs="Times New Roman"/>
          <w:sz w:val="22"/>
          <w:szCs w:val="22"/>
        </w:rPr>
        <w:t>waktu</w:t>
      </w:r>
      <w:proofErr w:type="spellEnd"/>
      <w:r w:rsidRPr="00E255CE">
        <w:rPr>
          <w:rFonts w:cs="Times New Roman"/>
          <w:sz w:val="22"/>
          <w:szCs w:val="22"/>
        </w:rPr>
        <w:t xml:space="preserve"> </w:t>
      </w:r>
      <w:proofErr w:type="spellStart"/>
      <w:r w:rsidRPr="00E255CE">
        <w:rPr>
          <w:rFonts w:cs="Times New Roman"/>
          <w:sz w:val="22"/>
          <w:szCs w:val="22"/>
        </w:rPr>
        <w:t>paruh</w:t>
      </w:r>
      <w:proofErr w:type="spellEnd"/>
      <w:r w:rsidRPr="00E255CE">
        <w:rPr>
          <w:rFonts w:cs="Times New Roman"/>
          <w:sz w:val="22"/>
          <w:szCs w:val="22"/>
        </w:rPr>
        <w:t xml:space="preserve"> yang lama </w:t>
      </w:r>
      <w:proofErr w:type="spellStart"/>
      <w:r w:rsidRPr="00E255CE">
        <w:rPr>
          <w:rFonts w:cs="Times New Roman"/>
          <w:sz w:val="22"/>
          <w:szCs w:val="22"/>
        </w:rPr>
        <w:t>bisa</w:t>
      </w:r>
      <w:proofErr w:type="spellEnd"/>
      <w:r w:rsidRPr="00E255CE">
        <w:rPr>
          <w:rFonts w:cs="Times New Roman"/>
          <w:sz w:val="22"/>
          <w:szCs w:val="22"/>
        </w:rPr>
        <w:t xml:space="preserve"> </w:t>
      </w:r>
      <w:proofErr w:type="spellStart"/>
      <w:r w:rsidRPr="00E255CE">
        <w:rPr>
          <w:rFonts w:cs="Times New Roman"/>
          <w:sz w:val="22"/>
          <w:szCs w:val="22"/>
        </w:rPr>
        <w:t>mencegah</w:t>
      </w:r>
      <w:proofErr w:type="spellEnd"/>
      <w:r w:rsidRPr="00E255CE">
        <w:rPr>
          <w:rFonts w:cs="Times New Roman"/>
          <w:sz w:val="22"/>
          <w:szCs w:val="22"/>
        </w:rPr>
        <w:t xml:space="preserve"> </w:t>
      </w:r>
      <w:proofErr w:type="spellStart"/>
      <w:r w:rsidRPr="00E255CE">
        <w:rPr>
          <w:rFonts w:cs="Times New Roman"/>
          <w:sz w:val="22"/>
          <w:szCs w:val="22"/>
        </w:rPr>
        <w:t>bakteri</w:t>
      </w:r>
      <w:proofErr w:type="spellEnd"/>
      <w:r w:rsidRPr="00E255CE">
        <w:rPr>
          <w:rFonts w:cs="Times New Roman"/>
          <w:sz w:val="22"/>
          <w:szCs w:val="22"/>
        </w:rPr>
        <w:t xml:space="preserve"> </w:t>
      </w:r>
      <w:proofErr w:type="spellStart"/>
      <w:r w:rsidRPr="00E255CE">
        <w:rPr>
          <w:rFonts w:cs="Times New Roman"/>
          <w:sz w:val="22"/>
          <w:szCs w:val="22"/>
        </w:rPr>
        <w:t>selama</w:t>
      </w:r>
      <w:proofErr w:type="spellEnd"/>
      <w:r w:rsidRPr="00E255CE">
        <w:rPr>
          <w:rFonts w:cs="Times New Roman"/>
          <w:sz w:val="22"/>
          <w:szCs w:val="22"/>
        </w:rPr>
        <w:t xml:space="preserve"> </w:t>
      </w:r>
      <w:proofErr w:type="spellStart"/>
      <w:r w:rsidRPr="00E255CE">
        <w:rPr>
          <w:rFonts w:cs="Times New Roman"/>
          <w:sz w:val="22"/>
          <w:szCs w:val="22"/>
        </w:rPr>
        <w:t>operasi</w:t>
      </w:r>
      <w:proofErr w:type="spellEnd"/>
      <w:r w:rsidRPr="00E255CE">
        <w:rPr>
          <w:rFonts w:cs="Times New Roman"/>
          <w:sz w:val="22"/>
          <w:szCs w:val="22"/>
        </w:rPr>
        <w:t xml:space="preserve"> </w:t>
      </w:r>
      <w:proofErr w:type="spellStart"/>
      <w:r w:rsidRPr="00E255CE">
        <w:rPr>
          <w:rFonts w:cs="Times New Roman"/>
          <w:sz w:val="22"/>
          <w:szCs w:val="22"/>
        </w:rPr>
        <w:t>hingga</w:t>
      </w:r>
      <w:proofErr w:type="spellEnd"/>
      <w:r w:rsidRPr="00E255CE">
        <w:rPr>
          <w:rFonts w:cs="Times New Roman"/>
          <w:sz w:val="22"/>
          <w:szCs w:val="22"/>
        </w:rPr>
        <w:t xml:space="preserve"> </w:t>
      </w:r>
      <w:proofErr w:type="spellStart"/>
      <w:r w:rsidRPr="00E255CE">
        <w:rPr>
          <w:rFonts w:cs="Times New Roman"/>
          <w:sz w:val="22"/>
          <w:szCs w:val="22"/>
        </w:rPr>
        <w:t>selesai</w:t>
      </w:r>
      <w:proofErr w:type="spellEnd"/>
      <w:r w:rsidRPr="00E255CE">
        <w:rPr>
          <w:rFonts w:cs="Times New Roman"/>
          <w:sz w:val="22"/>
          <w:szCs w:val="22"/>
        </w:rPr>
        <w:t xml:space="preserve"> </w:t>
      </w:r>
      <w:proofErr w:type="spellStart"/>
      <w:r w:rsidRPr="00E255CE">
        <w:rPr>
          <w:rFonts w:cs="Times New Roman"/>
          <w:sz w:val="22"/>
          <w:szCs w:val="22"/>
        </w:rPr>
        <w:t>dilakukan</w:t>
      </w:r>
      <w:proofErr w:type="spellEnd"/>
      <w:r w:rsidRPr="00E255CE">
        <w:rPr>
          <w:rFonts w:cs="Times New Roman"/>
          <w:sz w:val="22"/>
          <w:szCs w:val="22"/>
        </w:rPr>
        <w:t xml:space="preserve">. </w:t>
      </w:r>
      <w:proofErr w:type="spellStart"/>
      <w:r w:rsidRPr="00E255CE">
        <w:rPr>
          <w:rFonts w:cs="Times New Roman"/>
          <w:sz w:val="22"/>
          <w:szCs w:val="22"/>
        </w:rPr>
        <w:t>Antibiotik</w:t>
      </w:r>
      <w:proofErr w:type="spellEnd"/>
      <w:r w:rsidRPr="00E255CE">
        <w:rPr>
          <w:rFonts w:cs="Times New Roman"/>
          <w:sz w:val="22"/>
          <w:szCs w:val="22"/>
        </w:rPr>
        <w:t xml:space="preserve"> yang </w:t>
      </w:r>
      <w:proofErr w:type="spellStart"/>
      <w:r w:rsidRPr="00E255CE">
        <w:rPr>
          <w:rFonts w:cs="Times New Roman"/>
          <w:sz w:val="22"/>
          <w:szCs w:val="22"/>
        </w:rPr>
        <w:t>diberikan</w:t>
      </w:r>
      <w:proofErr w:type="spellEnd"/>
      <w:r w:rsidRPr="00E255CE">
        <w:rPr>
          <w:rFonts w:cs="Times New Roman"/>
          <w:sz w:val="22"/>
          <w:szCs w:val="22"/>
        </w:rPr>
        <w:t xml:space="preserve"> </w:t>
      </w:r>
      <w:proofErr w:type="spellStart"/>
      <w:r w:rsidRPr="00E255CE">
        <w:rPr>
          <w:rFonts w:cs="Times New Roman"/>
          <w:sz w:val="22"/>
          <w:szCs w:val="22"/>
        </w:rPr>
        <w:t>terlalu</w:t>
      </w:r>
      <w:proofErr w:type="spellEnd"/>
      <w:r w:rsidRPr="00E255CE">
        <w:rPr>
          <w:rFonts w:cs="Times New Roman"/>
          <w:sz w:val="22"/>
          <w:szCs w:val="22"/>
        </w:rPr>
        <w:t xml:space="preserve"> </w:t>
      </w:r>
      <w:proofErr w:type="spellStart"/>
      <w:r w:rsidRPr="00E255CE">
        <w:rPr>
          <w:rFonts w:cs="Times New Roman"/>
          <w:sz w:val="22"/>
          <w:szCs w:val="22"/>
        </w:rPr>
        <w:t>dini</w:t>
      </w:r>
      <w:proofErr w:type="spellEnd"/>
      <w:r w:rsidRPr="00E255CE">
        <w:rPr>
          <w:rFonts w:cs="Times New Roman"/>
          <w:sz w:val="22"/>
          <w:szCs w:val="22"/>
        </w:rPr>
        <w:t xml:space="preserve"> (</w:t>
      </w:r>
      <w:proofErr w:type="spellStart"/>
      <w:r w:rsidRPr="00E255CE">
        <w:rPr>
          <w:rFonts w:cs="Times New Roman"/>
          <w:sz w:val="22"/>
          <w:szCs w:val="22"/>
        </w:rPr>
        <w:t>lebih</w:t>
      </w:r>
      <w:proofErr w:type="spellEnd"/>
      <w:r w:rsidRPr="00E255CE">
        <w:rPr>
          <w:rFonts w:cs="Times New Roman"/>
          <w:sz w:val="22"/>
          <w:szCs w:val="22"/>
        </w:rPr>
        <w:t xml:space="preserve"> </w:t>
      </w:r>
      <w:proofErr w:type="spellStart"/>
      <w:r w:rsidRPr="00E255CE">
        <w:rPr>
          <w:rFonts w:cs="Times New Roman"/>
          <w:sz w:val="22"/>
          <w:szCs w:val="22"/>
        </w:rPr>
        <w:t>dari</w:t>
      </w:r>
      <w:proofErr w:type="spellEnd"/>
      <w:r w:rsidRPr="00E255CE">
        <w:rPr>
          <w:rFonts w:cs="Times New Roman"/>
          <w:sz w:val="22"/>
          <w:szCs w:val="22"/>
        </w:rPr>
        <w:t xml:space="preserve"> </w:t>
      </w:r>
      <w:proofErr w:type="spellStart"/>
      <w:r w:rsidRPr="00E255CE">
        <w:rPr>
          <w:rFonts w:cs="Times New Roman"/>
          <w:sz w:val="22"/>
          <w:szCs w:val="22"/>
        </w:rPr>
        <w:t>satu</w:t>
      </w:r>
      <w:proofErr w:type="spellEnd"/>
      <w:r w:rsidRPr="00E255CE">
        <w:rPr>
          <w:rFonts w:cs="Times New Roman"/>
          <w:sz w:val="22"/>
          <w:szCs w:val="22"/>
        </w:rPr>
        <w:t xml:space="preserve"> jam </w:t>
      </w:r>
      <w:proofErr w:type="spellStart"/>
      <w:r w:rsidRPr="00E255CE">
        <w:rPr>
          <w:rFonts w:cs="Times New Roman"/>
          <w:sz w:val="22"/>
          <w:szCs w:val="22"/>
        </w:rPr>
        <w:t>sebelum</w:t>
      </w:r>
      <w:proofErr w:type="spellEnd"/>
      <w:r w:rsidRPr="00E255CE">
        <w:rPr>
          <w:rFonts w:cs="Times New Roman"/>
          <w:sz w:val="22"/>
          <w:szCs w:val="22"/>
        </w:rPr>
        <w:t xml:space="preserve"> </w:t>
      </w:r>
      <w:proofErr w:type="spellStart"/>
      <w:r w:rsidRPr="00E255CE">
        <w:rPr>
          <w:rFonts w:cs="Times New Roman"/>
          <w:sz w:val="22"/>
          <w:szCs w:val="22"/>
        </w:rPr>
        <w:t>operasi</w:t>
      </w:r>
      <w:proofErr w:type="spellEnd"/>
      <w:r w:rsidRPr="00E255CE">
        <w:rPr>
          <w:rFonts w:cs="Times New Roman"/>
          <w:sz w:val="22"/>
          <w:szCs w:val="22"/>
        </w:rPr>
        <w:t xml:space="preserve"> </w:t>
      </w:r>
      <w:proofErr w:type="spellStart"/>
      <w:r w:rsidRPr="00E255CE">
        <w:rPr>
          <w:rFonts w:cs="Times New Roman"/>
          <w:sz w:val="22"/>
          <w:szCs w:val="22"/>
        </w:rPr>
        <w:t>dimulai</w:t>
      </w:r>
      <w:proofErr w:type="spellEnd"/>
      <w:r w:rsidRPr="00E255CE">
        <w:rPr>
          <w:rFonts w:cs="Times New Roman"/>
          <w:sz w:val="22"/>
          <w:szCs w:val="22"/>
        </w:rPr>
        <w:t xml:space="preserve">) </w:t>
      </w:r>
      <w:proofErr w:type="spellStart"/>
      <w:r w:rsidRPr="00E255CE">
        <w:rPr>
          <w:rFonts w:cs="Times New Roman"/>
          <w:sz w:val="22"/>
          <w:szCs w:val="22"/>
        </w:rPr>
        <w:t>tidak</w:t>
      </w:r>
      <w:proofErr w:type="spellEnd"/>
      <w:r w:rsidRPr="00E255CE">
        <w:rPr>
          <w:rFonts w:cs="Times New Roman"/>
          <w:sz w:val="22"/>
          <w:szCs w:val="22"/>
        </w:rPr>
        <w:t xml:space="preserve"> </w:t>
      </w:r>
      <w:proofErr w:type="spellStart"/>
      <w:r w:rsidRPr="00E255CE">
        <w:rPr>
          <w:rFonts w:cs="Times New Roman"/>
          <w:sz w:val="22"/>
          <w:szCs w:val="22"/>
        </w:rPr>
        <w:t>akan</w:t>
      </w:r>
      <w:proofErr w:type="spellEnd"/>
      <w:r w:rsidRPr="00E255CE">
        <w:rPr>
          <w:rFonts w:cs="Times New Roman"/>
          <w:sz w:val="22"/>
          <w:szCs w:val="22"/>
        </w:rPr>
        <w:t xml:space="preserve"> </w:t>
      </w:r>
      <w:proofErr w:type="spellStart"/>
      <w:r w:rsidRPr="00E255CE">
        <w:rPr>
          <w:rFonts w:cs="Times New Roman"/>
          <w:sz w:val="22"/>
          <w:szCs w:val="22"/>
        </w:rPr>
        <w:t>memberikan</w:t>
      </w:r>
      <w:proofErr w:type="spellEnd"/>
      <w:r w:rsidRPr="00E255CE">
        <w:rPr>
          <w:rFonts w:cs="Times New Roman"/>
          <w:sz w:val="22"/>
          <w:szCs w:val="22"/>
        </w:rPr>
        <w:t xml:space="preserve"> </w:t>
      </w:r>
      <w:proofErr w:type="spellStart"/>
      <w:r w:rsidRPr="00E255CE">
        <w:rPr>
          <w:rFonts w:cs="Times New Roman"/>
          <w:sz w:val="22"/>
          <w:szCs w:val="22"/>
        </w:rPr>
        <w:t>perlindungan</w:t>
      </w:r>
      <w:proofErr w:type="spellEnd"/>
      <w:r w:rsidRPr="00E255CE">
        <w:rPr>
          <w:rFonts w:cs="Times New Roman"/>
          <w:sz w:val="22"/>
          <w:szCs w:val="22"/>
        </w:rPr>
        <w:t xml:space="preserve"> yang </w:t>
      </w:r>
      <w:proofErr w:type="spellStart"/>
      <w:r w:rsidRPr="00E255CE">
        <w:rPr>
          <w:rFonts w:cs="Times New Roman"/>
          <w:sz w:val="22"/>
          <w:szCs w:val="22"/>
        </w:rPr>
        <w:lastRenderedPageBreak/>
        <w:t>memadai</w:t>
      </w:r>
      <w:proofErr w:type="spellEnd"/>
      <w:r w:rsidRPr="00E255CE">
        <w:rPr>
          <w:rFonts w:cs="Times New Roman"/>
          <w:sz w:val="22"/>
          <w:szCs w:val="22"/>
        </w:rPr>
        <w:t xml:space="preserve"> </w:t>
      </w:r>
      <w:proofErr w:type="spellStart"/>
      <w:r w:rsidRPr="00E255CE">
        <w:rPr>
          <w:rFonts w:cs="Times New Roman"/>
          <w:sz w:val="22"/>
          <w:szCs w:val="22"/>
        </w:rPr>
        <w:t>bagi</w:t>
      </w:r>
      <w:proofErr w:type="spellEnd"/>
      <w:r w:rsidRPr="00E255CE">
        <w:rPr>
          <w:rFonts w:cs="Times New Roman"/>
          <w:sz w:val="22"/>
          <w:szCs w:val="22"/>
        </w:rPr>
        <w:t xml:space="preserve"> </w:t>
      </w:r>
      <w:proofErr w:type="spellStart"/>
      <w:r w:rsidRPr="00E255CE">
        <w:rPr>
          <w:rFonts w:cs="Times New Roman"/>
          <w:sz w:val="22"/>
          <w:szCs w:val="22"/>
        </w:rPr>
        <w:t>pasien</w:t>
      </w:r>
      <w:proofErr w:type="spellEnd"/>
      <w:r w:rsidRPr="00E255CE">
        <w:rPr>
          <w:rFonts w:cs="Times New Roman"/>
          <w:sz w:val="22"/>
          <w:szCs w:val="22"/>
        </w:rPr>
        <w:t xml:space="preserve"> </w:t>
      </w:r>
      <w:proofErr w:type="spellStart"/>
      <w:r w:rsidRPr="00E255CE">
        <w:rPr>
          <w:rFonts w:cs="Times New Roman"/>
          <w:sz w:val="22"/>
          <w:szCs w:val="22"/>
        </w:rPr>
        <w:t>terhadap</w:t>
      </w:r>
      <w:proofErr w:type="spellEnd"/>
      <w:r w:rsidRPr="00E255CE">
        <w:rPr>
          <w:rFonts w:cs="Times New Roman"/>
          <w:sz w:val="22"/>
          <w:szCs w:val="22"/>
        </w:rPr>
        <w:t xml:space="preserve"> </w:t>
      </w:r>
      <w:proofErr w:type="spellStart"/>
      <w:r w:rsidRPr="00E255CE">
        <w:rPr>
          <w:rFonts w:cs="Times New Roman"/>
          <w:sz w:val="22"/>
          <w:szCs w:val="22"/>
        </w:rPr>
        <w:t>bakteri</w:t>
      </w:r>
      <w:proofErr w:type="spellEnd"/>
      <w:r w:rsidRPr="00E255CE">
        <w:rPr>
          <w:rFonts w:cs="Times New Roman"/>
          <w:sz w:val="22"/>
          <w:szCs w:val="22"/>
        </w:rPr>
        <w:t xml:space="preserve"> </w:t>
      </w:r>
      <w:proofErr w:type="spellStart"/>
      <w:r w:rsidRPr="00E255CE">
        <w:rPr>
          <w:rFonts w:cs="Times New Roman"/>
          <w:sz w:val="22"/>
          <w:szCs w:val="22"/>
        </w:rPr>
        <w:t>penyebab</w:t>
      </w:r>
      <w:proofErr w:type="spellEnd"/>
      <w:r w:rsidRPr="00E255CE">
        <w:rPr>
          <w:rFonts w:cs="Times New Roman"/>
          <w:sz w:val="22"/>
          <w:szCs w:val="22"/>
        </w:rPr>
        <w:t xml:space="preserve"> </w:t>
      </w:r>
      <w:proofErr w:type="spellStart"/>
      <w:r w:rsidRPr="00E255CE">
        <w:rPr>
          <w:rFonts w:cs="Times New Roman"/>
          <w:sz w:val="22"/>
          <w:szCs w:val="22"/>
        </w:rPr>
        <w:t>infeksi</w:t>
      </w:r>
      <w:proofErr w:type="spellEnd"/>
      <w:r w:rsidRPr="00E255CE">
        <w:rPr>
          <w:rFonts w:cs="Times New Roman"/>
          <w:sz w:val="22"/>
          <w:szCs w:val="22"/>
        </w:rPr>
        <w:t xml:space="preserve"> </w:t>
      </w:r>
      <w:proofErr w:type="spellStart"/>
      <w:r w:rsidRPr="00E255CE">
        <w:rPr>
          <w:rFonts w:cs="Times New Roman"/>
          <w:sz w:val="22"/>
          <w:szCs w:val="22"/>
        </w:rPr>
        <w:t>selama</w:t>
      </w:r>
      <w:proofErr w:type="spellEnd"/>
      <w:r w:rsidRPr="00E255CE">
        <w:rPr>
          <w:rFonts w:cs="Times New Roman"/>
          <w:sz w:val="22"/>
          <w:szCs w:val="22"/>
        </w:rPr>
        <w:t xml:space="preserve"> </w:t>
      </w:r>
      <w:proofErr w:type="spellStart"/>
      <w:r w:rsidRPr="00E255CE">
        <w:rPr>
          <w:rFonts w:cs="Times New Roman"/>
          <w:sz w:val="22"/>
          <w:szCs w:val="22"/>
        </w:rPr>
        <w:t>operasi</w:t>
      </w:r>
      <w:proofErr w:type="spellEnd"/>
      <w:r w:rsidRPr="00E255CE">
        <w:rPr>
          <w:rFonts w:cs="Times New Roman"/>
          <w:sz w:val="22"/>
          <w:szCs w:val="22"/>
        </w:rPr>
        <w:t xml:space="preserve"> </w:t>
      </w:r>
      <w:proofErr w:type="spellStart"/>
      <w:r w:rsidRPr="00E255CE">
        <w:rPr>
          <w:rFonts w:cs="Times New Roman"/>
          <w:sz w:val="22"/>
          <w:szCs w:val="22"/>
        </w:rPr>
        <w:t>berlangsung</w:t>
      </w:r>
      <w:proofErr w:type="spellEnd"/>
      <w:r w:rsidRPr="00E255CE">
        <w:rPr>
          <w:rFonts w:cs="Times New Roman"/>
          <w:sz w:val="22"/>
          <w:szCs w:val="22"/>
        </w:rPr>
        <w:t xml:space="preserve"> </w:t>
      </w:r>
      <w:proofErr w:type="spellStart"/>
      <w:r w:rsidRPr="00E255CE">
        <w:rPr>
          <w:rFonts w:cs="Times New Roman"/>
          <w:sz w:val="22"/>
          <w:szCs w:val="22"/>
        </w:rPr>
        <w:t>hingga</w:t>
      </w:r>
      <w:proofErr w:type="spellEnd"/>
      <w:r w:rsidRPr="00E255CE">
        <w:rPr>
          <w:rFonts w:cs="Times New Roman"/>
          <w:sz w:val="22"/>
          <w:szCs w:val="22"/>
        </w:rPr>
        <w:t xml:space="preserve"> </w:t>
      </w:r>
      <w:proofErr w:type="spellStart"/>
      <w:r w:rsidRPr="00E255CE">
        <w:rPr>
          <w:rFonts w:cs="Times New Roman"/>
          <w:sz w:val="22"/>
          <w:szCs w:val="22"/>
        </w:rPr>
        <w:t>selesai</w:t>
      </w:r>
      <w:proofErr w:type="spellEnd"/>
      <w:r w:rsidRPr="00E255CE">
        <w:rPr>
          <w:rFonts w:cs="Times New Roman"/>
          <w:sz w:val="22"/>
          <w:szCs w:val="22"/>
        </w:rPr>
        <w:t xml:space="preserve"> (ASHP, 2013; Radji, 2016).</w:t>
      </w:r>
    </w:p>
    <w:p w14:paraId="3B4BE4FA" w14:textId="5421F8E0" w:rsidR="00B46EE3" w:rsidRPr="00BC6D6A" w:rsidRDefault="00000000" w:rsidP="00E255CE">
      <w:pPr>
        <w:spacing w:line="360" w:lineRule="auto"/>
        <w:ind w:firstLine="284"/>
        <w:jc w:val="both"/>
        <w:rPr>
          <w:rFonts w:cs="Times New Roman"/>
          <w:sz w:val="22"/>
          <w:szCs w:val="22"/>
        </w:rPr>
      </w:pPr>
      <w:r w:rsidRPr="00BC6D6A">
        <w:rPr>
          <w:rFonts w:cs="Times New Roman"/>
          <w:sz w:val="22"/>
          <w:szCs w:val="22"/>
        </w:rPr>
        <w:t xml:space="preserve">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sebagian</w:t>
      </w:r>
      <w:proofErr w:type="spellEnd"/>
      <w:r w:rsidRPr="00BC6D6A">
        <w:rPr>
          <w:rFonts w:cs="Times New Roman"/>
          <w:sz w:val="22"/>
          <w:szCs w:val="22"/>
        </w:rPr>
        <w:t xml:space="preserve"> </w:t>
      </w:r>
      <w:proofErr w:type="spellStart"/>
      <w:r w:rsidRPr="00BC6D6A">
        <w:rPr>
          <w:rFonts w:cs="Times New Roman"/>
          <w:sz w:val="22"/>
          <w:szCs w:val="22"/>
        </w:rPr>
        <w:t>besar</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ceftriaxone 2 gram 62,77% dan 1 gram 35,11% </w:t>
      </w:r>
      <w:proofErr w:type="spellStart"/>
      <w:r w:rsidRPr="00BC6D6A">
        <w:rPr>
          <w:rFonts w:cs="Times New Roman"/>
          <w:sz w:val="22"/>
          <w:szCs w:val="22"/>
        </w:rPr>
        <w:t>sedangkan</w:t>
      </w:r>
      <w:proofErr w:type="spellEnd"/>
      <w:r w:rsidRPr="00BC6D6A">
        <w:rPr>
          <w:rFonts w:cs="Times New Roman"/>
          <w:sz w:val="22"/>
          <w:szCs w:val="22"/>
        </w:rPr>
        <w:t xml:space="preserve"> ciprofloxacin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2x500 mg 2,13%.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sefalosporin</w:t>
      </w:r>
      <w:proofErr w:type="spellEnd"/>
      <w:r w:rsidRPr="00BC6D6A">
        <w:rPr>
          <w:rFonts w:cs="Times New Roman"/>
          <w:sz w:val="22"/>
          <w:szCs w:val="22"/>
        </w:rPr>
        <w:t xml:space="preserve"> </w:t>
      </w:r>
      <w:proofErr w:type="spellStart"/>
      <w:r w:rsidRPr="00BC6D6A">
        <w:rPr>
          <w:rFonts w:cs="Times New Roman"/>
          <w:sz w:val="22"/>
          <w:szCs w:val="22"/>
        </w:rPr>
        <w:t>generasi</w:t>
      </w:r>
      <w:proofErr w:type="spellEnd"/>
      <w:r w:rsidRPr="00BC6D6A">
        <w:rPr>
          <w:rFonts w:cs="Times New Roman"/>
          <w:sz w:val="22"/>
          <w:szCs w:val="22"/>
        </w:rPr>
        <w:t xml:space="preserve"> III, </w:t>
      </w:r>
      <w:proofErr w:type="spellStart"/>
      <w:r w:rsidRPr="00BC6D6A">
        <w:rPr>
          <w:rFonts w:cs="Times New Roman"/>
          <w:sz w:val="22"/>
          <w:szCs w:val="22"/>
        </w:rPr>
        <w:t>khususnya</w:t>
      </w:r>
      <w:proofErr w:type="spellEnd"/>
      <w:r w:rsidRPr="00BC6D6A">
        <w:rPr>
          <w:rFonts w:cs="Times New Roman"/>
          <w:sz w:val="22"/>
          <w:szCs w:val="22"/>
        </w:rPr>
        <w:t xml:space="preserve"> ceftriaxone </w:t>
      </w:r>
      <w:proofErr w:type="spellStart"/>
      <w:r w:rsidRPr="00BC6D6A">
        <w:rPr>
          <w:rFonts w:cs="Times New Roman"/>
          <w:sz w:val="22"/>
          <w:szCs w:val="22"/>
        </w:rPr>
        <w:t>mempunyai</w:t>
      </w:r>
      <w:proofErr w:type="spellEnd"/>
      <w:r w:rsidRPr="00BC6D6A">
        <w:rPr>
          <w:rFonts w:cs="Times New Roman"/>
          <w:sz w:val="22"/>
          <w:szCs w:val="22"/>
        </w:rPr>
        <w:t xml:space="preserve"> </w:t>
      </w:r>
      <w:proofErr w:type="spellStart"/>
      <w:r w:rsidRPr="00BC6D6A">
        <w:rPr>
          <w:rFonts w:cs="Times New Roman"/>
          <w:sz w:val="22"/>
          <w:szCs w:val="22"/>
        </w:rPr>
        <w:t>konsentrasi</w:t>
      </w:r>
      <w:proofErr w:type="spellEnd"/>
      <w:r w:rsidRPr="00BC6D6A">
        <w:rPr>
          <w:rFonts w:cs="Times New Roman"/>
          <w:sz w:val="22"/>
          <w:szCs w:val="22"/>
        </w:rPr>
        <w:t xml:space="preserve"> yang </w:t>
      </w:r>
      <w:proofErr w:type="spellStart"/>
      <w:r w:rsidRPr="00BC6D6A">
        <w:rPr>
          <w:rFonts w:cs="Times New Roman"/>
          <w:sz w:val="22"/>
          <w:szCs w:val="22"/>
        </w:rPr>
        <w:t>cukup</w:t>
      </w:r>
      <w:proofErr w:type="spellEnd"/>
      <w:r w:rsidRPr="00BC6D6A">
        <w:rPr>
          <w:rFonts w:cs="Times New Roman"/>
          <w:sz w:val="22"/>
          <w:szCs w:val="22"/>
        </w:rPr>
        <w:t xml:space="preserve"> </w:t>
      </w:r>
      <w:proofErr w:type="spellStart"/>
      <w:r w:rsidRPr="00BC6D6A">
        <w:rPr>
          <w:rFonts w:cs="Times New Roman"/>
          <w:sz w:val="22"/>
          <w:szCs w:val="22"/>
        </w:rPr>
        <w:t>memadai</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darah</w:t>
      </w:r>
      <w:proofErr w:type="spellEnd"/>
      <w:r w:rsidRPr="00BC6D6A">
        <w:rPr>
          <w:rFonts w:cs="Times New Roman"/>
          <w:sz w:val="22"/>
          <w:szCs w:val="22"/>
        </w:rPr>
        <w:t xml:space="preserve"> dan </w:t>
      </w:r>
      <w:proofErr w:type="spellStart"/>
      <w:r w:rsidRPr="00BC6D6A">
        <w:rPr>
          <w:rFonts w:cs="Times New Roman"/>
          <w:sz w:val="22"/>
          <w:szCs w:val="22"/>
        </w:rPr>
        <w:t>jaringan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melawan</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penyebab</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setelah</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1 </w:t>
      </w:r>
      <w:proofErr w:type="spellStart"/>
      <w:r w:rsidRPr="00BC6D6A">
        <w:rPr>
          <w:rFonts w:cs="Times New Roman"/>
          <w:sz w:val="22"/>
          <w:szCs w:val="22"/>
        </w:rPr>
        <w:t>atau</w:t>
      </w:r>
      <w:proofErr w:type="spellEnd"/>
      <w:r w:rsidRPr="00BC6D6A">
        <w:rPr>
          <w:rFonts w:cs="Times New Roman"/>
          <w:sz w:val="22"/>
          <w:szCs w:val="22"/>
        </w:rPr>
        <w:t xml:space="preserve"> 2 gram (Maria, 2023). </w:t>
      </w:r>
      <w:proofErr w:type="spellStart"/>
      <w:r w:rsidRPr="00BC6D6A">
        <w:rPr>
          <w:rFonts w:cs="Times New Roman"/>
          <w:sz w:val="22"/>
          <w:szCs w:val="22"/>
        </w:rPr>
        <w:t>Sedangkan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ciprofloxacin yang </w:t>
      </w:r>
      <w:proofErr w:type="spellStart"/>
      <w:r w:rsidRPr="00BC6D6A">
        <w:rPr>
          <w:rFonts w:cs="Times New Roman"/>
          <w:sz w:val="22"/>
          <w:szCs w:val="22"/>
        </w:rPr>
        <w:t>melawan</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cara</w:t>
      </w:r>
      <w:proofErr w:type="spellEnd"/>
      <w:r w:rsidRPr="00BC6D6A">
        <w:rPr>
          <w:rFonts w:cs="Times New Roman"/>
          <w:sz w:val="22"/>
          <w:szCs w:val="22"/>
        </w:rPr>
        <w:t xml:space="preserve"> </w:t>
      </w:r>
      <w:proofErr w:type="spellStart"/>
      <w:r w:rsidRPr="00BC6D6A">
        <w:rPr>
          <w:rFonts w:cs="Times New Roman"/>
          <w:sz w:val="22"/>
          <w:szCs w:val="22"/>
        </w:rPr>
        <w:t>menghambat</w:t>
      </w:r>
      <w:proofErr w:type="spellEnd"/>
      <w:r w:rsidRPr="00BC6D6A">
        <w:rPr>
          <w:rFonts w:cs="Times New Roman"/>
          <w:sz w:val="22"/>
          <w:szCs w:val="22"/>
        </w:rPr>
        <w:t xml:space="preserve"> </w:t>
      </w:r>
      <w:proofErr w:type="spellStart"/>
      <w:r w:rsidRPr="00BC6D6A">
        <w:rPr>
          <w:rFonts w:cs="Times New Roman"/>
          <w:sz w:val="22"/>
          <w:szCs w:val="22"/>
        </w:rPr>
        <w:t>replikasi</w:t>
      </w:r>
      <w:proofErr w:type="spellEnd"/>
      <w:r w:rsidRPr="00BC6D6A">
        <w:rPr>
          <w:rFonts w:cs="Times New Roman"/>
          <w:sz w:val="22"/>
          <w:szCs w:val="22"/>
        </w:rPr>
        <w:t xml:space="preserve"> DNA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sehingga</w:t>
      </w:r>
      <w:proofErr w:type="spellEnd"/>
      <w:r w:rsidRPr="00BC6D6A">
        <w:rPr>
          <w:rFonts w:cs="Times New Roman"/>
          <w:sz w:val="22"/>
          <w:szCs w:val="22"/>
        </w:rPr>
        <w:t xml:space="preserve"> </w:t>
      </w:r>
      <w:proofErr w:type="spellStart"/>
      <w:r w:rsidRPr="00BC6D6A">
        <w:rPr>
          <w:rFonts w:cs="Times New Roman"/>
          <w:sz w:val="22"/>
          <w:szCs w:val="22"/>
        </w:rPr>
        <w:t>menghentikan</w:t>
      </w:r>
      <w:proofErr w:type="spellEnd"/>
      <w:r w:rsidRPr="00BC6D6A">
        <w:rPr>
          <w:rFonts w:cs="Times New Roman"/>
          <w:sz w:val="22"/>
          <w:szCs w:val="22"/>
        </w:rPr>
        <w:t xml:space="preserve"> </w:t>
      </w:r>
      <w:proofErr w:type="spellStart"/>
      <w:r w:rsidRPr="00BC6D6A">
        <w:rPr>
          <w:rFonts w:cs="Times New Roman"/>
          <w:sz w:val="22"/>
          <w:szCs w:val="22"/>
        </w:rPr>
        <w:t>pertumbuhan</w:t>
      </w:r>
      <w:proofErr w:type="spellEnd"/>
      <w:r w:rsidRPr="00BC6D6A">
        <w:rPr>
          <w:rFonts w:cs="Times New Roman"/>
          <w:sz w:val="22"/>
          <w:szCs w:val="22"/>
        </w:rPr>
        <w:t xml:space="preserve"> dan </w:t>
      </w:r>
      <w:proofErr w:type="spellStart"/>
      <w:r w:rsidRPr="00BC6D6A">
        <w:rPr>
          <w:rFonts w:cs="Times New Roman"/>
          <w:sz w:val="22"/>
          <w:szCs w:val="22"/>
        </w:rPr>
        <w:t>reproduksi</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setelah</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maksimal</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2x 500 mg </w:t>
      </w:r>
      <w:proofErr w:type="spellStart"/>
      <w:r w:rsidRPr="00BC6D6A">
        <w:rPr>
          <w:rFonts w:cs="Times New Roman"/>
          <w:sz w:val="22"/>
          <w:szCs w:val="22"/>
        </w:rPr>
        <w:t>kurang</w:t>
      </w:r>
      <w:proofErr w:type="spellEnd"/>
      <w:r w:rsidRPr="00BC6D6A">
        <w:rPr>
          <w:rFonts w:cs="Times New Roman"/>
          <w:sz w:val="22"/>
          <w:szCs w:val="22"/>
        </w:rPr>
        <w:t xml:space="preserve"> </w:t>
      </w:r>
      <w:proofErr w:type="spellStart"/>
      <w:r w:rsidRPr="00BC6D6A">
        <w:rPr>
          <w:rFonts w:cs="Times New Roman"/>
          <w:sz w:val="22"/>
          <w:szCs w:val="22"/>
        </w:rPr>
        <w:t>efektif</w:t>
      </w:r>
      <w:proofErr w:type="spellEnd"/>
      <w:r w:rsidRPr="00BC6D6A">
        <w:rPr>
          <w:rFonts w:cs="Times New Roman"/>
          <w:sz w:val="22"/>
          <w:szCs w:val="22"/>
        </w:rPr>
        <w:t xml:space="preserve"> dan </w:t>
      </w:r>
      <w:proofErr w:type="spellStart"/>
      <w:r w:rsidRPr="00BC6D6A">
        <w:rPr>
          <w:rFonts w:cs="Times New Roman"/>
          <w:sz w:val="22"/>
          <w:szCs w:val="22"/>
        </w:rPr>
        <w:t>ditakutkan</w:t>
      </w:r>
      <w:proofErr w:type="spellEnd"/>
      <w:r w:rsidRPr="00BC6D6A">
        <w:rPr>
          <w:rFonts w:cs="Times New Roman"/>
          <w:sz w:val="22"/>
          <w:szCs w:val="22"/>
        </w:rPr>
        <w:t xml:space="preserve"> </w:t>
      </w:r>
      <w:proofErr w:type="spellStart"/>
      <w:r w:rsidRPr="00BC6D6A">
        <w:rPr>
          <w:rFonts w:cs="Times New Roman"/>
          <w:sz w:val="22"/>
          <w:szCs w:val="22"/>
        </w:rPr>
        <w:t>akan</w:t>
      </w:r>
      <w:proofErr w:type="spellEnd"/>
      <w:r w:rsidRPr="00BC6D6A">
        <w:rPr>
          <w:rFonts w:cs="Times New Roman"/>
          <w:sz w:val="22"/>
          <w:szCs w:val="22"/>
        </w:rPr>
        <w:t xml:space="preserve"> </w:t>
      </w:r>
      <w:proofErr w:type="spellStart"/>
      <w:r w:rsidRPr="00BC6D6A">
        <w:rPr>
          <w:rFonts w:cs="Times New Roman"/>
          <w:sz w:val="22"/>
          <w:szCs w:val="22"/>
        </w:rPr>
        <w:t>menimbulkan</w:t>
      </w:r>
      <w:proofErr w:type="spellEnd"/>
      <w:r w:rsidRPr="00BC6D6A">
        <w:rPr>
          <w:rFonts w:cs="Times New Roman"/>
          <w:sz w:val="22"/>
          <w:szCs w:val="22"/>
        </w:rPr>
        <w:t xml:space="preserve"> </w:t>
      </w:r>
      <w:proofErr w:type="spellStart"/>
      <w:r w:rsidRPr="00BC6D6A">
        <w:rPr>
          <w:rFonts w:cs="Times New Roman"/>
          <w:sz w:val="22"/>
          <w:szCs w:val="22"/>
        </w:rPr>
        <w:t>efek</w:t>
      </w:r>
      <w:proofErr w:type="spellEnd"/>
      <w:r w:rsidRPr="00BC6D6A">
        <w:rPr>
          <w:rFonts w:cs="Times New Roman"/>
          <w:sz w:val="22"/>
          <w:szCs w:val="22"/>
        </w:rPr>
        <w:t xml:space="preserve"> </w:t>
      </w:r>
      <w:proofErr w:type="spellStart"/>
      <w:r w:rsidRPr="00BC6D6A">
        <w:rPr>
          <w:rFonts w:cs="Times New Roman"/>
          <w:sz w:val="22"/>
          <w:szCs w:val="22"/>
        </w:rPr>
        <w:t>samping</w:t>
      </w:r>
      <w:proofErr w:type="spellEnd"/>
      <w:r w:rsidRPr="00BC6D6A">
        <w:rPr>
          <w:rFonts w:cs="Times New Roman"/>
          <w:sz w:val="22"/>
          <w:szCs w:val="22"/>
        </w:rPr>
        <w:t xml:space="preserve"> yang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diinginkan</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mengatasi</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sebelum</w:t>
      </w:r>
      <w:proofErr w:type="spellEnd"/>
      <w:r w:rsidRPr="00BC6D6A">
        <w:rPr>
          <w:rFonts w:cs="Times New Roman"/>
          <w:sz w:val="22"/>
          <w:szCs w:val="22"/>
        </w:rPr>
        <w:t xml:space="preserve"> </w:t>
      </w:r>
      <w:proofErr w:type="spellStart"/>
      <w:r w:rsidRPr="00BC6D6A">
        <w:rPr>
          <w:rFonts w:cs="Times New Roman"/>
          <w:sz w:val="22"/>
          <w:szCs w:val="22"/>
        </w:rPr>
        <w:t>tindakan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w:t>
      </w:r>
      <w:proofErr w:type="spellStart"/>
      <w:r w:rsidRPr="00BC6D6A">
        <w:rPr>
          <w:rFonts w:cs="Times New Roman"/>
          <w:sz w:val="22"/>
          <w:szCs w:val="22"/>
        </w:rPr>
        <w:t>karena</w:t>
      </w:r>
      <w:proofErr w:type="spellEnd"/>
      <w:r w:rsidRPr="00BC6D6A">
        <w:rPr>
          <w:rFonts w:cs="Times New Roman"/>
          <w:sz w:val="22"/>
          <w:szCs w:val="22"/>
        </w:rPr>
        <w:t xml:space="preserve"> pada </w:t>
      </w:r>
      <w:proofErr w:type="spellStart"/>
      <w:r w:rsidRPr="00BC6D6A">
        <w:rPr>
          <w:rFonts w:cs="Times New Roman"/>
          <w:sz w:val="22"/>
          <w:szCs w:val="22"/>
        </w:rPr>
        <w:t>umumnya</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ciprofloxacin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400 mg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tunggal</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dewasa</w:t>
      </w:r>
      <w:proofErr w:type="spellEnd"/>
      <w:r w:rsidRPr="00BC6D6A">
        <w:rPr>
          <w:rFonts w:cs="Times New Roman"/>
          <w:sz w:val="22"/>
          <w:szCs w:val="22"/>
        </w:rPr>
        <w:t xml:space="preserve"> dan 10mg/kg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w:t>
      </w:r>
      <w:proofErr w:type="spellStart"/>
      <w:r w:rsidRPr="00BC6D6A">
        <w:rPr>
          <w:rFonts w:cs="Times New Roman"/>
          <w:sz w:val="22"/>
          <w:szCs w:val="22"/>
        </w:rPr>
        <w:t>berusia</w:t>
      </w:r>
      <w:proofErr w:type="spellEnd"/>
      <w:r w:rsidRPr="00BC6D6A">
        <w:rPr>
          <w:rFonts w:cs="Times New Roman"/>
          <w:sz w:val="22"/>
          <w:szCs w:val="22"/>
        </w:rPr>
        <w:t xml:space="preserve"> di </w:t>
      </w:r>
      <w:proofErr w:type="spellStart"/>
      <w:r w:rsidRPr="00BC6D6A">
        <w:rPr>
          <w:rFonts w:cs="Times New Roman"/>
          <w:sz w:val="22"/>
          <w:szCs w:val="22"/>
        </w:rPr>
        <w:t>bawah</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cara</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melalui</w:t>
      </w:r>
      <w:proofErr w:type="spellEnd"/>
      <w:r w:rsidRPr="00BC6D6A">
        <w:rPr>
          <w:rFonts w:cs="Times New Roman"/>
          <w:sz w:val="22"/>
          <w:szCs w:val="22"/>
        </w:rPr>
        <w:t xml:space="preserve"> </w:t>
      </w:r>
      <w:proofErr w:type="spellStart"/>
      <w:r w:rsidRPr="00BC6D6A">
        <w:rPr>
          <w:rFonts w:cs="Times New Roman"/>
          <w:sz w:val="22"/>
          <w:szCs w:val="22"/>
        </w:rPr>
        <w:t>infus</w:t>
      </w:r>
      <w:proofErr w:type="spellEnd"/>
      <w:r w:rsidRPr="00BC6D6A">
        <w:rPr>
          <w:rFonts w:cs="Times New Roman"/>
          <w:sz w:val="22"/>
          <w:szCs w:val="22"/>
        </w:rPr>
        <w:t xml:space="preserve"> </w:t>
      </w:r>
      <w:proofErr w:type="spellStart"/>
      <w:r w:rsidRPr="00BC6D6A">
        <w:rPr>
          <w:rFonts w:cs="Times New Roman"/>
          <w:sz w:val="22"/>
          <w:szCs w:val="22"/>
        </w:rPr>
        <w:t>selama</w:t>
      </w:r>
      <w:proofErr w:type="spellEnd"/>
      <w:r w:rsidRPr="00BC6D6A">
        <w:rPr>
          <w:rFonts w:cs="Times New Roman"/>
          <w:sz w:val="22"/>
          <w:szCs w:val="22"/>
        </w:rPr>
        <w:t xml:space="preserve"> 30 </w:t>
      </w:r>
      <w:proofErr w:type="spellStart"/>
      <w:r w:rsidRPr="00BC6D6A">
        <w:rPr>
          <w:rFonts w:cs="Times New Roman"/>
          <w:sz w:val="22"/>
          <w:szCs w:val="22"/>
        </w:rPr>
        <w:t>menit</w:t>
      </w:r>
      <w:proofErr w:type="spellEnd"/>
      <w:r w:rsidRPr="00BC6D6A">
        <w:rPr>
          <w:rFonts w:cs="Times New Roman"/>
          <w:sz w:val="22"/>
          <w:szCs w:val="22"/>
        </w:rPr>
        <w:t xml:space="preserve"> (American </w:t>
      </w:r>
      <w:proofErr w:type="spellStart"/>
      <w:r w:rsidRPr="00BC6D6A">
        <w:rPr>
          <w:rFonts w:cs="Times New Roman"/>
          <w:sz w:val="22"/>
          <w:szCs w:val="22"/>
        </w:rPr>
        <w:t>Pharmasist</w:t>
      </w:r>
      <w:proofErr w:type="spellEnd"/>
      <w:r w:rsidRPr="00BC6D6A">
        <w:rPr>
          <w:rFonts w:cs="Times New Roman"/>
          <w:sz w:val="22"/>
          <w:szCs w:val="22"/>
        </w:rPr>
        <w:t xml:space="preserve">, 2012; </w:t>
      </w:r>
      <w:proofErr w:type="spellStart"/>
      <w:r w:rsidRPr="00BC6D6A">
        <w:rPr>
          <w:rFonts w:cs="Times New Roman"/>
          <w:sz w:val="22"/>
          <w:szCs w:val="22"/>
        </w:rPr>
        <w:t>Lukito</w:t>
      </w:r>
      <w:proofErr w:type="spellEnd"/>
      <w:r w:rsidRPr="00BC6D6A">
        <w:rPr>
          <w:rFonts w:cs="Times New Roman"/>
          <w:sz w:val="22"/>
          <w:szCs w:val="22"/>
        </w:rPr>
        <w:t>, 2019).</w:t>
      </w:r>
    </w:p>
    <w:p w14:paraId="699C312C" w14:textId="77777777" w:rsidR="00B46EE3" w:rsidRPr="00BC6D6A" w:rsidRDefault="00000000" w:rsidP="00E255CE">
      <w:pPr>
        <w:spacing w:before="240" w:line="360" w:lineRule="auto"/>
        <w:jc w:val="both"/>
        <w:rPr>
          <w:rFonts w:cs="Times New Roman"/>
          <w:b/>
          <w:sz w:val="22"/>
          <w:szCs w:val="22"/>
        </w:rPr>
      </w:pPr>
      <w:bookmarkStart w:id="6" w:name="_heading=h.3dy6vkm" w:colFirst="0" w:colLast="0"/>
      <w:bookmarkEnd w:id="6"/>
      <w:proofErr w:type="spellStart"/>
      <w:r w:rsidRPr="00BC6D6A">
        <w:rPr>
          <w:rFonts w:cs="Times New Roman"/>
          <w:b/>
          <w:sz w:val="22"/>
          <w:szCs w:val="22"/>
        </w:rPr>
        <w:t>Kesesuaian</w:t>
      </w:r>
      <w:proofErr w:type="spellEnd"/>
      <w:r w:rsidRPr="00BC6D6A">
        <w:rPr>
          <w:rFonts w:cs="Times New Roman"/>
          <w:b/>
          <w:sz w:val="22"/>
          <w:szCs w:val="22"/>
        </w:rPr>
        <w:t xml:space="preserve"> </w:t>
      </w:r>
      <w:proofErr w:type="spellStart"/>
      <w:r w:rsidRPr="00BC6D6A">
        <w:rPr>
          <w:rFonts w:cs="Times New Roman"/>
          <w:b/>
          <w:sz w:val="22"/>
          <w:szCs w:val="22"/>
        </w:rPr>
        <w:t>Penggunaan</w:t>
      </w:r>
      <w:proofErr w:type="spellEnd"/>
      <w:r w:rsidRPr="00BC6D6A">
        <w:rPr>
          <w:rFonts w:cs="Times New Roman"/>
          <w:b/>
          <w:sz w:val="22"/>
          <w:szCs w:val="22"/>
        </w:rPr>
        <w:t xml:space="preserve"> </w:t>
      </w:r>
      <w:proofErr w:type="spellStart"/>
      <w:r w:rsidRPr="00BC6D6A">
        <w:rPr>
          <w:rFonts w:cs="Times New Roman"/>
          <w:b/>
          <w:sz w:val="22"/>
          <w:szCs w:val="22"/>
        </w:rPr>
        <w:t>Antibiotik</w:t>
      </w:r>
      <w:proofErr w:type="spellEnd"/>
      <w:r w:rsidRPr="00BC6D6A">
        <w:rPr>
          <w:rFonts w:cs="Times New Roman"/>
          <w:b/>
          <w:sz w:val="22"/>
          <w:szCs w:val="22"/>
        </w:rPr>
        <w:t xml:space="preserve"> </w:t>
      </w:r>
      <w:proofErr w:type="spellStart"/>
      <w:r w:rsidRPr="00BC6D6A">
        <w:rPr>
          <w:rFonts w:cs="Times New Roman"/>
          <w:b/>
          <w:sz w:val="22"/>
          <w:szCs w:val="22"/>
        </w:rPr>
        <w:t>Profilaksis</w:t>
      </w:r>
      <w:proofErr w:type="spellEnd"/>
    </w:p>
    <w:p w14:paraId="28174379" w14:textId="77777777" w:rsidR="00B46EE3" w:rsidRPr="00BC6D6A" w:rsidRDefault="00000000">
      <w:pPr>
        <w:spacing w:line="360" w:lineRule="auto"/>
        <w:jc w:val="center"/>
        <w:rPr>
          <w:rFonts w:cs="Times New Roman"/>
          <w:b/>
          <w:color w:val="000000"/>
        </w:rPr>
      </w:pPr>
      <w:bookmarkStart w:id="7" w:name="_heading=h.1t3h5sf" w:colFirst="0" w:colLast="0"/>
      <w:bookmarkEnd w:id="7"/>
      <w:r w:rsidRPr="00BC6D6A">
        <w:rPr>
          <w:rFonts w:cs="Times New Roman"/>
          <w:b/>
          <w:color w:val="000000"/>
        </w:rPr>
        <w:t xml:space="preserve">Tabel 3. </w:t>
      </w:r>
      <w:proofErr w:type="spellStart"/>
      <w:r w:rsidRPr="00BC6D6A">
        <w:rPr>
          <w:rFonts w:cs="Times New Roman"/>
          <w:b/>
          <w:color w:val="000000"/>
        </w:rPr>
        <w:t>Kesesuaian</w:t>
      </w:r>
      <w:proofErr w:type="spellEnd"/>
      <w:r w:rsidRPr="00BC6D6A">
        <w:rPr>
          <w:rFonts w:cs="Times New Roman"/>
          <w:b/>
          <w:color w:val="000000"/>
        </w:rPr>
        <w:t xml:space="preserve"> </w:t>
      </w:r>
      <w:proofErr w:type="spellStart"/>
      <w:r w:rsidRPr="00BC6D6A">
        <w:rPr>
          <w:rFonts w:cs="Times New Roman"/>
          <w:b/>
          <w:color w:val="000000"/>
        </w:rPr>
        <w:t>Penggunaan</w:t>
      </w:r>
      <w:proofErr w:type="spellEnd"/>
      <w:r w:rsidRPr="00BC6D6A">
        <w:rPr>
          <w:rFonts w:cs="Times New Roman"/>
          <w:b/>
          <w:color w:val="000000"/>
        </w:rPr>
        <w:t xml:space="preserve"> </w:t>
      </w:r>
      <w:proofErr w:type="spellStart"/>
      <w:r w:rsidRPr="00BC6D6A">
        <w:rPr>
          <w:rFonts w:cs="Times New Roman"/>
          <w:b/>
          <w:color w:val="000000"/>
        </w:rPr>
        <w:t>Antibiotik</w:t>
      </w:r>
      <w:proofErr w:type="spellEnd"/>
      <w:r w:rsidRPr="00BC6D6A">
        <w:rPr>
          <w:rFonts w:cs="Times New Roman"/>
          <w:b/>
          <w:color w:val="000000"/>
        </w:rPr>
        <w:t xml:space="preserve"> </w:t>
      </w:r>
      <w:proofErr w:type="spellStart"/>
      <w:r w:rsidRPr="00BC6D6A">
        <w:rPr>
          <w:rFonts w:cs="Times New Roman"/>
          <w:b/>
          <w:color w:val="000000"/>
        </w:rPr>
        <w:t>Profilaksis</w:t>
      </w:r>
      <w:proofErr w:type="spellEnd"/>
    </w:p>
    <w:tbl>
      <w:tblPr>
        <w:tblStyle w:val="a7"/>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1131"/>
        <w:gridCol w:w="3405"/>
        <w:gridCol w:w="1280"/>
      </w:tblGrid>
      <w:tr w:rsidR="00B46EE3" w:rsidRPr="00BC6D6A" w14:paraId="5C32468B" w14:textId="77777777" w:rsidTr="00E255CE">
        <w:trPr>
          <w:trHeight w:val="790"/>
          <w:jc w:val="center"/>
        </w:trPr>
        <w:tc>
          <w:tcPr>
            <w:tcW w:w="2689" w:type="dxa"/>
            <w:tcBorders>
              <w:left w:val="nil"/>
              <w:bottom w:val="single" w:sz="4" w:space="0" w:color="000000"/>
              <w:right w:val="nil"/>
            </w:tcBorders>
            <w:vAlign w:val="center"/>
          </w:tcPr>
          <w:p w14:paraId="1F842E4F" w14:textId="45357CA2" w:rsidR="00B46EE3" w:rsidRPr="00BC6D6A" w:rsidRDefault="00000000" w:rsidP="00E255CE">
            <w:pPr>
              <w:jc w:val="center"/>
              <w:rPr>
                <w:rFonts w:cs="Times New Roman"/>
              </w:rPr>
            </w:pPr>
            <w:proofErr w:type="spellStart"/>
            <w:r w:rsidRPr="00BC6D6A">
              <w:rPr>
                <w:rFonts w:cs="Times New Roman"/>
              </w:rPr>
              <w:t>Kategori</w:t>
            </w:r>
            <w:proofErr w:type="spellEnd"/>
          </w:p>
        </w:tc>
        <w:tc>
          <w:tcPr>
            <w:tcW w:w="1131" w:type="dxa"/>
            <w:tcBorders>
              <w:left w:val="nil"/>
              <w:bottom w:val="single" w:sz="4" w:space="0" w:color="000000"/>
              <w:right w:val="nil"/>
            </w:tcBorders>
            <w:vAlign w:val="center"/>
          </w:tcPr>
          <w:p w14:paraId="2CF14CC4" w14:textId="77777777" w:rsidR="00B46EE3" w:rsidRPr="00BC6D6A" w:rsidRDefault="00000000" w:rsidP="00E255CE">
            <w:pPr>
              <w:jc w:val="center"/>
              <w:rPr>
                <w:rFonts w:cs="Times New Roman"/>
              </w:rPr>
            </w:pPr>
            <w:proofErr w:type="spellStart"/>
            <w:r w:rsidRPr="00BC6D6A">
              <w:rPr>
                <w:rFonts w:cs="Times New Roman"/>
              </w:rPr>
              <w:t>Jumlah</w:t>
            </w:r>
            <w:proofErr w:type="spellEnd"/>
          </w:p>
        </w:tc>
        <w:tc>
          <w:tcPr>
            <w:tcW w:w="3405" w:type="dxa"/>
            <w:tcBorders>
              <w:left w:val="nil"/>
              <w:bottom w:val="single" w:sz="4" w:space="0" w:color="000000"/>
              <w:right w:val="nil"/>
            </w:tcBorders>
            <w:vAlign w:val="center"/>
          </w:tcPr>
          <w:p w14:paraId="401ABA4B" w14:textId="344B3B7A" w:rsidR="00B46EE3" w:rsidRPr="00BC6D6A" w:rsidRDefault="00000000" w:rsidP="00E255CE">
            <w:pPr>
              <w:jc w:val="center"/>
              <w:rPr>
                <w:rFonts w:cs="Times New Roman"/>
              </w:rPr>
            </w:pPr>
            <w:proofErr w:type="spellStart"/>
            <w:r w:rsidRPr="00BC6D6A">
              <w:rPr>
                <w:rFonts w:cs="Times New Roman"/>
              </w:rPr>
              <w:t>Pedoman</w:t>
            </w:r>
            <w:proofErr w:type="spellEnd"/>
            <w:r w:rsidRPr="00BC6D6A">
              <w:rPr>
                <w:rFonts w:cs="Times New Roman"/>
              </w:rPr>
              <w:t xml:space="preserve"> Umum (ASHP 2021; IDSA Guidelines dan </w:t>
            </w:r>
            <w:proofErr w:type="spellStart"/>
            <w:r w:rsidRPr="00BC6D6A">
              <w:rPr>
                <w:rFonts w:cs="Times New Roman"/>
              </w:rPr>
              <w:t>Permenkes</w:t>
            </w:r>
            <w:proofErr w:type="spellEnd"/>
            <w:r w:rsidRPr="00BC6D6A">
              <w:rPr>
                <w:rFonts w:cs="Times New Roman"/>
              </w:rPr>
              <w:t xml:space="preserve"> No.28 </w:t>
            </w:r>
            <w:proofErr w:type="spellStart"/>
            <w:r w:rsidRPr="00BC6D6A">
              <w:rPr>
                <w:rFonts w:cs="Times New Roman"/>
              </w:rPr>
              <w:t>tahun</w:t>
            </w:r>
            <w:proofErr w:type="spellEnd"/>
            <w:r w:rsidRPr="00BC6D6A">
              <w:rPr>
                <w:rFonts w:cs="Times New Roman"/>
              </w:rPr>
              <w:t xml:space="preserve"> 2021)</w:t>
            </w:r>
          </w:p>
        </w:tc>
        <w:tc>
          <w:tcPr>
            <w:tcW w:w="1280" w:type="dxa"/>
            <w:tcBorders>
              <w:left w:val="nil"/>
              <w:bottom w:val="single" w:sz="4" w:space="0" w:color="000000"/>
              <w:right w:val="nil"/>
            </w:tcBorders>
            <w:vAlign w:val="center"/>
          </w:tcPr>
          <w:p w14:paraId="5C69A6D6" w14:textId="77777777" w:rsidR="00B46EE3" w:rsidRPr="00BC6D6A" w:rsidRDefault="00000000" w:rsidP="00E255CE">
            <w:pPr>
              <w:jc w:val="center"/>
              <w:rPr>
                <w:rFonts w:cs="Times New Roman"/>
              </w:rPr>
            </w:pPr>
            <w:r w:rsidRPr="00BC6D6A">
              <w:rPr>
                <w:rFonts w:cs="Times New Roman"/>
              </w:rPr>
              <w:t>% (n=94)</w:t>
            </w:r>
          </w:p>
        </w:tc>
      </w:tr>
      <w:tr w:rsidR="00B46EE3" w:rsidRPr="00BC6D6A" w14:paraId="7F85E6C2" w14:textId="77777777">
        <w:trPr>
          <w:trHeight w:val="247"/>
          <w:jc w:val="center"/>
        </w:trPr>
        <w:tc>
          <w:tcPr>
            <w:tcW w:w="2689" w:type="dxa"/>
            <w:tcBorders>
              <w:left w:val="nil"/>
              <w:bottom w:val="nil"/>
              <w:right w:val="nil"/>
            </w:tcBorders>
          </w:tcPr>
          <w:p w14:paraId="0FC9246E" w14:textId="77777777" w:rsidR="00B46EE3" w:rsidRPr="00BC6D6A" w:rsidRDefault="00000000" w:rsidP="00E255CE">
            <w:pPr>
              <w:rPr>
                <w:rFonts w:cs="Times New Roman"/>
                <w:b/>
              </w:rPr>
            </w:pPr>
            <w:r w:rsidRPr="00BC6D6A">
              <w:rPr>
                <w:rFonts w:cs="Times New Roman"/>
                <w:b/>
              </w:rPr>
              <w:t xml:space="preserve">Rute </w:t>
            </w:r>
            <w:proofErr w:type="spellStart"/>
            <w:r w:rsidRPr="00BC6D6A">
              <w:rPr>
                <w:rFonts w:cs="Times New Roman"/>
                <w:b/>
              </w:rPr>
              <w:t>Pemberian</w:t>
            </w:r>
            <w:proofErr w:type="spellEnd"/>
          </w:p>
        </w:tc>
        <w:tc>
          <w:tcPr>
            <w:tcW w:w="1131" w:type="dxa"/>
            <w:tcBorders>
              <w:left w:val="nil"/>
              <w:bottom w:val="nil"/>
              <w:right w:val="nil"/>
            </w:tcBorders>
          </w:tcPr>
          <w:p w14:paraId="328752F3" w14:textId="77777777" w:rsidR="00B46EE3" w:rsidRPr="00BC6D6A" w:rsidRDefault="00B46EE3" w:rsidP="00E255CE">
            <w:pPr>
              <w:jc w:val="center"/>
              <w:rPr>
                <w:rFonts w:cs="Times New Roman"/>
              </w:rPr>
            </w:pPr>
          </w:p>
        </w:tc>
        <w:tc>
          <w:tcPr>
            <w:tcW w:w="3405" w:type="dxa"/>
            <w:tcBorders>
              <w:left w:val="nil"/>
              <w:bottom w:val="nil"/>
              <w:right w:val="nil"/>
            </w:tcBorders>
          </w:tcPr>
          <w:p w14:paraId="0C85F698" w14:textId="77777777" w:rsidR="00B46EE3" w:rsidRPr="00BC6D6A" w:rsidRDefault="00B46EE3" w:rsidP="00E255CE">
            <w:pPr>
              <w:jc w:val="center"/>
              <w:rPr>
                <w:rFonts w:cs="Times New Roman"/>
              </w:rPr>
            </w:pPr>
          </w:p>
        </w:tc>
        <w:tc>
          <w:tcPr>
            <w:tcW w:w="1280" w:type="dxa"/>
            <w:tcBorders>
              <w:left w:val="nil"/>
              <w:bottom w:val="nil"/>
              <w:right w:val="nil"/>
            </w:tcBorders>
          </w:tcPr>
          <w:p w14:paraId="0A51CF2F" w14:textId="77777777" w:rsidR="00B46EE3" w:rsidRPr="00BC6D6A" w:rsidRDefault="00B46EE3" w:rsidP="00E255CE">
            <w:pPr>
              <w:jc w:val="center"/>
              <w:rPr>
                <w:rFonts w:cs="Times New Roman"/>
              </w:rPr>
            </w:pPr>
          </w:p>
        </w:tc>
      </w:tr>
      <w:tr w:rsidR="00B46EE3" w:rsidRPr="00BC6D6A" w14:paraId="11A91E6C" w14:textId="77777777">
        <w:trPr>
          <w:trHeight w:val="247"/>
          <w:jc w:val="center"/>
        </w:trPr>
        <w:tc>
          <w:tcPr>
            <w:tcW w:w="2689" w:type="dxa"/>
            <w:tcBorders>
              <w:top w:val="nil"/>
              <w:left w:val="nil"/>
              <w:bottom w:val="nil"/>
              <w:right w:val="nil"/>
            </w:tcBorders>
          </w:tcPr>
          <w:p w14:paraId="4EF29284" w14:textId="74FD1AB7" w:rsidR="00B46EE3" w:rsidRPr="00BC6D6A" w:rsidRDefault="00E255CE" w:rsidP="00E255CE">
            <w:pPr>
              <w:rPr>
                <w:rFonts w:cs="Times New Roman"/>
              </w:rPr>
            </w:pPr>
            <w:r>
              <w:rPr>
                <w:rFonts w:cs="Times New Roman"/>
              </w:rPr>
              <w:t xml:space="preserve"> </w:t>
            </w:r>
            <w:r w:rsidRPr="00BC6D6A">
              <w:rPr>
                <w:rFonts w:cs="Times New Roman"/>
              </w:rPr>
              <w:t>IV</w:t>
            </w:r>
          </w:p>
        </w:tc>
        <w:tc>
          <w:tcPr>
            <w:tcW w:w="1131" w:type="dxa"/>
            <w:tcBorders>
              <w:top w:val="nil"/>
              <w:left w:val="nil"/>
              <w:bottom w:val="nil"/>
              <w:right w:val="nil"/>
            </w:tcBorders>
          </w:tcPr>
          <w:p w14:paraId="4AEBBD7A" w14:textId="77777777" w:rsidR="00B46EE3" w:rsidRPr="00BC6D6A" w:rsidRDefault="00000000" w:rsidP="00E255CE">
            <w:pPr>
              <w:jc w:val="center"/>
              <w:rPr>
                <w:rFonts w:cs="Times New Roman"/>
              </w:rPr>
            </w:pPr>
            <w:r w:rsidRPr="00BC6D6A">
              <w:rPr>
                <w:rFonts w:cs="Times New Roman"/>
              </w:rPr>
              <w:t>94</w:t>
            </w:r>
          </w:p>
        </w:tc>
        <w:tc>
          <w:tcPr>
            <w:tcW w:w="3405" w:type="dxa"/>
            <w:tcBorders>
              <w:top w:val="nil"/>
              <w:left w:val="nil"/>
              <w:bottom w:val="nil"/>
              <w:right w:val="nil"/>
            </w:tcBorders>
          </w:tcPr>
          <w:p w14:paraId="50D0BDE5" w14:textId="77777777" w:rsidR="00B46EE3" w:rsidRPr="00BC6D6A" w:rsidRDefault="00000000" w:rsidP="00E255CE">
            <w:pPr>
              <w:jc w:val="center"/>
              <w:rPr>
                <w:rFonts w:cs="Times New Roman"/>
              </w:rPr>
            </w:pPr>
            <w:proofErr w:type="spellStart"/>
            <w:r w:rsidRPr="00BC6D6A">
              <w:rPr>
                <w:rFonts w:cs="Times New Roman"/>
              </w:rPr>
              <w:t>Sesuai</w:t>
            </w:r>
            <w:proofErr w:type="spellEnd"/>
          </w:p>
        </w:tc>
        <w:tc>
          <w:tcPr>
            <w:tcW w:w="1280" w:type="dxa"/>
            <w:tcBorders>
              <w:top w:val="nil"/>
              <w:left w:val="nil"/>
              <w:bottom w:val="nil"/>
              <w:right w:val="nil"/>
            </w:tcBorders>
          </w:tcPr>
          <w:p w14:paraId="7311EC74" w14:textId="77777777" w:rsidR="00B46EE3" w:rsidRPr="00BC6D6A" w:rsidRDefault="00000000" w:rsidP="00E255CE">
            <w:pPr>
              <w:jc w:val="center"/>
              <w:rPr>
                <w:rFonts w:cs="Times New Roman"/>
              </w:rPr>
            </w:pPr>
            <w:r w:rsidRPr="00BC6D6A">
              <w:rPr>
                <w:rFonts w:cs="Times New Roman"/>
              </w:rPr>
              <w:t>100</w:t>
            </w:r>
          </w:p>
        </w:tc>
      </w:tr>
      <w:tr w:rsidR="00B46EE3" w:rsidRPr="00BC6D6A" w14:paraId="296BEF62" w14:textId="77777777">
        <w:trPr>
          <w:trHeight w:val="247"/>
          <w:jc w:val="center"/>
        </w:trPr>
        <w:tc>
          <w:tcPr>
            <w:tcW w:w="2689" w:type="dxa"/>
            <w:tcBorders>
              <w:top w:val="nil"/>
              <w:left w:val="nil"/>
              <w:bottom w:val="single" w:sz="4" w:space="0" w:color="000000"/>
              <w:right w:val="nil"/>
            </w:tcBorders>
          </w:tcPr>
          <w:p w14:paraId="2000C783" w14:textId="1653AB1E" w:rsidR="00B46EE3" w:rsidRPr="00BC6D6A" w:rsidRDefault="00E255CE" w:rsidP="00E255CE">
            <w:pPr>
              <w:rPr>
                <w:rFonts w:cs="Times New Roman"/>
              </w:rPr>
            </w:pPr>
            <w:r>
              <w:rPr>
                <w:rFonts w:cs="Times New Roman"/>
              </w:rPr>
              <w:t xml:space="preserve"> </w:t>
            </w:r>
            <w:r w:rsidRPr="00BC6D6A">
              <w:rPr>
                <w:rFonts w:cs="Times New Roman"/>
              </w:rPr>
              <w:t>Per Oral</w:t>
            </w:r>
          </w:p>
        </w:tc>
        <w:tc>
          <w:tcPr>
            <w:tcW w:w="1131" w:type="dxa"/>
            <w:tcBorders>
              <w:top w:val="nil"/>
              <w:left w:val="nil"/>
              <w:bottom w:val="single" w:sz="4" w:space="0" w:color="000000"/>
              <w:right w:val="nil"/>
            </w:tcBorders>
          </w:tcPr>
          <w:p w14:paraId="58F2C1DB" w14:textId="77777777" w:rsidR="00B46EE3" w:rsidRPr="00BC6D6A" w:rsidRDefault="00000000" w:rsidP="00E255CE">
            <w:pPr>
              <w:jc w:val="center"/>
              <w:rPr>
                <w:rFonts w:cs="Times New Roman"/>
              </w:rPr>
            </w:pPr>
            <w:r w:rsidRPr="00BC6D6A">
              <w:rPr>
                <w:rFonts w:cs="Times New Roman"/>
              </w:rPr>
              <w:t>0</w:t>
            </w:r>
          </w:p>
        </w:tc>
        <w:tc>
          <w:tcPr>
            <w:tcW w:w="3405" w:type="dxa"/>
            <w:tcBorders>
              <w:top w:val="nil"/>
              <w:left w:val="nil"/>
              <w:bottom w:val="single" w:sz="4" w:space="0" w:color="000000"/>
              <w:right w:val="nil"/>
            </w:tcBorders>
          </w:tcPr>
          <w:p w14:paraId="7403E385" w14:textId="77777777" w:rsidR="00B46EE3" w:rsidRPr="00BC6D6A" w:rsidRDefault="00000000" w:rsidP="00E255CE">
            <w:pPr>
              <w:jc w:val="center"/>
              <w:rPr>
                <w:rFonts w:cs="Times New Roman"/>
              </w:rPr>
            </w:pPr>
            <w:r w:rsidRPr="00BC6D6A">
              <w:rPr>
                <w:rFonts w:cs="Times New Roman"/>
              </w:rPr>
              <w:t xml:space="preserve">Tidak </w:t>
            </w:r>
            <w:proofErr w:type="spellStart"/>
            <w:r w:rsidRPr="00BC6D6A">
              <w:rPr>
                <w:rFonts w:cs="Times New Roman"/>
              </w:rPr>
              <w:t>Sesuai</w:t>
            </w:r>
            <w:proofErr w:type="spellEnd"/>
          </w:p>
        </w:tc>
        <w:tc>
          <w:tcPr>
            <w:tcW w:w="1280" w:type="dxa"/>
            <w:tcBorders>
              <w:top w:val="nil"/>
              <w:left w:val="nil"/>
              <w:bottom w:val="single" w:sz="4" w:space="0" w:color="000000"/>
              <w:right w:val="nil"/>
            </w:tcBorders>
          </w:tcPr>
          <w:p w14:paraId="543C53E9" w14:textId="77777777" w:rsidR="00B46EE3" w:rsidRPr="00BC6D6A" w:rsidRDefault="00000000" w:rsidP="00E255CE">
            <w:pPr>
              <w:jc w:val="center"/>
              <w:rPr>
                <w:rFonts w:cs="Times New Roman"/>
              </w:rPr>
            </w:pPr>
            <w:r w:rsidRPr="00BC6D6A">
              <w:rPr>
                <w:rFonts w:cs="Times New Roman"/>
              </w:rPr>
              <w:t>0</w:t>
            </w:r>
          </w:p>
        </w:tc>
      </w:tr>
      <w:tr w:rsidR="00B46EE3" w:rsidRPr="00BC6D6A" w14:paraId="36419DF0" w14:textId="77777777">
        <w:trPr>
          <w:trHeight w:val="247"/>
          <w:jc w:val="center"/>
        </w:trPr>
        <w:tc>
          <w:tcPr>
            <w:tcW w:w="2689" w:type="dxa"/>
            <w:tcBorders>
              <w:left w:val="nil"/>
              <w:bottom w:val="nil"/>
              <w:right w:val="nil"/>
            </w:tcBorders>
          </w:tcPr>
          <w:p w14:paraId="2CCB3EFF" w14:textId="77777777" w:rsidR="00B46EE3" w:rsidRPr="00BC6D6A" w:rsidRDefault="00000000" w:rsidP="00E255CE">
            <w:pPr>
              <w:rPr>
                <w:rFonts w:cs="Times New Roman"/>
                <w:b/>
              </w:rPr>
            </w:pPr>
            <w:r w:rsidRPr="00BC6D6A">
              <w:rPr>
                <w:rFonts w:cs="Times New Roman"/>
                <w:b/>
              </w:rPr>
              <w:t xml:space="preserve">Waktu </w:t>
            </w:r>
            <w:proofErr w:type="spellStart"/>
            <w:r w:rsidRPr="00BC6D6A">
              <w:rPr>
                <w:rFonts w:cs="Times New Roman"/>
                <w:b/>
              </w:rPr>
              <w:t>Pemberian</w:t>
            </w:r>
            <w:proofErr w:type="spellEnd"/>
          </w:p>
        </w:tc>
        <w:tc>
          <w:tcPr>
            <w:tcW w:w="1131" w:type="dxa"/>
            <w:tcBorders>
              <w:left w:val="nil"/>
              <w:bottom w:val="nil"/>
              <w:right w:val="nil"/>
            </w:tcBorders>
          </w:tcPr>
          <w:p w14:paraId="0C3C7F8D" w14:textId="77777777" w:rsidR="00B46EE3" w:rsidRPr="00BC6D6A" w:rsidRDefault="00B46EE3" w:rsidP="00E255CE">
            <w:pPr>
              <w:jc w:val="center"/>
              <w:rPr>
                <w:rFonts w:cs="Times New Roman"/>
              </w:rPr>
            </w:pPr>
          </w:p>
        </w:tc>
        <w:tc>
          <w:tcPr>
            <w:tcW w:w="3405" w:type="dxa"/>
            <w:tcBorders>
              <w:left w:val="nil"/>
              <w:bottom w:val="nil"/>
              <w:right w:val="nil"/>
            </w:tcBorders>
          </w:tcPr>
          <w:p w14:paraId="07F5FF92" w14:textId="77777777" w:rsidR="00B46EE3" w:rsidRPr="00BC6D6A" w:rsidRDefault="00B46EE3" w:rsidP="00E255CE">
            <w:pPr>
              <w:jc w:val="center"/>
              <w:rPr>
                <w:rFonts w:cs="Times New Roman"/>
              </w:rPr>
            </w:pPr>
          </w:p>
        </w:tc>
        <w:tc>
          <w:tcPr>
            <w:tcW w:w="1280" w:type="dxa"/>
            <w:tcBorders>
              <w:left w:val="nil"/>
              <w:bottom w:val="nil"/>
              <w:right w:val="nil"/>
            </w:tcBorders>
          </w:tcPr>
          <w:p w14:paraId="035A3220" w14:textId="77777777" w:rsidR="00B46EE3" w:rsidRPr="00BC6D6A" w:rsidRDefault="00B46EE3" w:rsidP="00E255CE">
            <w:pPr>
              <w:jc w:val="center"/>
              <w:rPr>
                <w:rFonts w:cs="Times New Roman"/>
              </w:rPr>
            </w:pPr>
          </w:p>
        </w:tc>
      </w:tr>
      <w:tr w:rsidR="00B46EE3" w:rsidRPr="00BC6D6A" w14:paraId="367BA904" w14:textId="77777777">
        <w:trPr>
          <w:trHeight w:val="247"/>
          <w:jc w:val="center"/>
        </w:trPr>
        <w:tc>
          <w:tcPr>
            <w:tcW w:w="2689" w:type="dxa"/>
            <w:tcBorders>
              <w:top w:val="nil"/>
              <w:left w:val="nil"/>
              <w:bottom w:val="nil"/>
              <w:right w:val="nil"/>
            </w:tcBorders>
          </w:tcPr>
          <w:p w14:paraId="0E54CF64" w14:textId="2D3003E5" w:rsidR="00B46EE3" w:rsidRPr="00BC6D6A" w:rsidRDefault="00000000" w:rsidP="00E255CE">
            <w:pPr>
              <w:rPr>
                <w:rFonts w:cs="Times New Roman"/>
              </w:rPr>
            </w:pPr>
            <w:sdt>
              <w:sdtPr>
                <w:rPr>
                  <w:rFonts w:cs="Times New Roman"/>
                </w:rPr>
                <w:tag w:val="goog_rdk_6"/>
                <w:id w:val="720946123"/>
              </w:sdtPr>
              <w:sdtContent>
                <w:r w:rsidR="00E255CE">
                  <w:rPr>
                    <w:rFonts w:eastAsia="Gungsuh" w:cs="Times New Roman"/>
                  </w:rPr>
                  <w:t xml:space="preserve"> </w:t>
                </w:r>
                <w:r w:rsidRPr="00BC6D6A">
                  <w:rPr>
                    <w:rFonts w:eastAsia="Gungsuh" w:cs="Times New Roman"/>
                  </w:rPr>
                  <w:t xml:space="preserve">≥ 30 </w:t>
                </w:r>
                <w:proofErr w:type="spellStart"/>
                <w:r w:rsidRPr="00BC6D6A">
                  <w:rPr>
                    <w:rFonts w:eastAsia="Gungsuh" w:cs="Times New Roman"/>
                  </w:rPr>
                  <w:t>menit</w:t>
                </w:r>
                <w:proofErr w:type="spellEnd"/>
              </w:sdtContent>
            </w:sdt>
          </w:p>
        </w:tc>
        <w:tc>
          <w:tcPr>
            <w:tcW w:w="1131" w:type="dxa"/>
            <w:tcBorders>
              <w:top w:val="nil"/>
              <w:left w:val="nil"/>
              <w:bottom w:val="nil"/>
              <w:right w:val="nil"/>
            </w:tcBorders>
          </w:tcPr>
          <w:p w14:paraId="66A4E294" w14:textId="77777777" w:rsidR="00B46EE3" w:rsidRPr="00BC6D6A" w:rsidRDefault="00000000" w:rsidP="00E255CE">
            <w:pPr>
              <w:jc w:val="center"/>
              <w:rPr>
                <w:rFonts w:cs="Times New Roman"/>
              </w:rPr>
            </w:pPr>
            <w:r w:rsidRPr="00BC6D6A">
              <w:rPr>
                <w:rFonts w:cs="Times New Roman"/>
              </w:rPr>
              <w:t>34</w:t>
            </w:r>
          </w:p>
        </w:tc>
        <w:tc>
          <w:tcPr>
            <w:tcW w:w="3405" w:type="dxa"/>
            <w:tcBorders>
              <w:top w:val="nil"/>
              <w:left w:val="nil"/>
              <w:bottom w:val="nil"/>
              <w:right w:val="nil"/>
            </w:tcBorders>
          </w:tcPr>
          <w:p w14:paraId="5E952AE5" w14:textId="77777777" w:rsidR="00B46EE3" w:rsidRPr="00BC6D6A" w:rsidRDefault="00000000" w:rsidP="00E255CE">
            <w:pPr>
              <w:jc w:val="center"/>
              <w:rPr>
                <w:rFonts w:cs="Times New Roman"/>
              </w:rPr>
            </w:pPr>
            <w:proofErr w:type="spellStart"/>
            <w:r w:rsidRPr="00BC6D6A">
              <w:rPr>
                <w:rFonts w:cs="Times New Roman"/>
              </w:rPr>
              <w:t>Sesuai</w:t>
            </w:r>
            <w:proofErr w:type="spellEnd"/>
          </w:p>
        </w:tc>
        <w:tc>
          <w:tcPr>
            <w:tcW w:w="1280" w:type="dxa"/>
            <w:tcBorders>
              <w:top w:val="nil"/>
              <w:left w:val="nil"/>
              <w:bottom w:val="nil"/>
              <w:right w:val="nil"/>
            </w:tcBorders>
          </w:tcPr>
          <w:p w14:paraId="1B9B78F2" w14:textId="77777777" w:rsidR="00B46EE3" w:rsidRPr="00BC6D6A" w:rsidRDefault="00000000" w:rsidP="00E255CE">
            <w:pPr>
              <w:jc w:val="center"/>
              <w:rPr>
                <w:rFonts w:cs="Times New Roman"/>
              </w:rPr>
            </w:pPr>
            <w:r w:rsidRPr="00BC6D6A">
              <w:rPr>
                <w:rFonts w:cs="Times New Roman"/>
              </w:rPr>
              <w:t>36,17</w:t>
            </w:r>
          </w:p>
        </w:tc>
      </w:tr>
      <w:tr w:rsidR="00B46EE3" w:rsidRPr="00BC6D6A" w14:paraId="1DA28697" w14:textId="77777777">
        <w:trPr>
          <w:trHeight w:val="247"/>
          <w:jc w:val="center"/>
        </w:trPr>
        <w:tc>
          <w:tcPr>
            <w:tcW w:w="2689" w:type="dxa"/>
            <w:tcBorders>
              <w:top w:val="nil"/>
              <w:left w:val="nil"/>
              <w:bottom w:val="single" w:sz="4" w:space="0" w:color="000000"/>
              <w:right w:val="nil"/>
            </w:tcBorders>
          </w:tcPr>
          <w:p w14:paraId="410FD4C5" w14:textId="42486197" w:rsidR="00B46EE3" w:rsidRPr="00BC6D6A" w:rsidRDefault="00E255CE" w:rsidP="00E255CE">
            <w:pPr>
              <w:rPr>
                <w:rFonts w:cs="Times New Roman"/>
              </w:rPr>
            </w:pPr>
            <w:r>
              <w:rPr>
                <w:rFonts w:cs="Times New Roman"/>
              </w:rPr>
              <w:t xml:space="preserve"> </w:t>
            </w:r>
            <w:r w:rsidRPr="00BC6D6A">
              <w:rPr>
                <w:rFonts w:cs="Times New Roman"/>
              </w:rPr>
              <w:t xml:space="preserve">60 </w:t>
            </w:r>
            <w:proofErr w:type="spellStart"/>
            <w:r w:rsidRPr="00BC6D6A">
              <w:rPr>
                <w:rFonts w:cs="Times New Roman"/>
              </w:rPr>
              <w:t>menit</w:t>
            </w:r>
            <w:proofErr w:type="spellEnd"/>
          </w:p>
        </w:tc>
        <w:tc>
          <w:tcPr>
            <w:tcW w:w="1131" w:type="dxa"/>
            <w:tcBorders>
              <w:top w:val="nil"/>
              <w:left w:val="nil"/>
              <w:bottom w:val="single" w:sz="4" w:space="0" w:color="000000"/>
              <w:right w:val="nil"/>
            </w:tcBorders>
          </w:tcPr>
          <w:p w14:paraId="17626D00" w14:textId="77777777" w:rsidR="00B46EE3" w:rsidRPr="00BC6D6A" w:rsidRDefault="00000000" w:rsidP="00E255CE">
            <w:pPr>
              <w:jc w:val="center"/>
              <w:rPr>
                <w:rFonts w:cs="Times New Roman"/>
              </w:rPr>
            </w:pPr>
            <w:r w:rsidRPr="00BC6D6A">
              <w:rPr>
                <w:rFonts w:cs="Times New Roman"/>
              </w:rPr>
              <w:t>69</w:t>
            </w:r>
          </w:p>
        </w:tc>
        <w:tc>
          <w:tcPr>
            <w:tcW w:w="3405" w:type="dxa"/>
            <w:tcBorders>
              <w:top w:val="nil"/>
              <w:left w:val="nil"/>
              <w:bottom w:val="single" w:sz="4" w:space="0" w:color="000000"/>
              <w:right w:val="nil"/>
            </w:tcBorders>
          </w:tcPr>
          <w:p w14:paraId="35FC4DE6" w14:textId="77777777" w:rsidR="00B46EE3" w:rsidRPr="00BC6D6A" w:rsidRDefault="00000000" w:rsidP="00E255CE">
            <w:pPr>
              <w:jc w:val="center"/>
              <w:rPr>
                <w:rFonts w:cs="Times New Roman"/>
              </w:rPr>
            </w:pPr>
            <w:proofErr w:type="spellStart"/>
            <w:r w:rsidRPr="00BC6D6A">
              <w:rPr>
                <w:rFonts w:cs="Times New Roman"/>
              </w:rPr>
              <w:t>Sesuai</w:t>
            </w:r>
            <w:proofErr w:type="spellEnd"/>
          </w:p>
        </w:tc>
        <w:tc>
          <w:tcPr>
            <w:tcW w:w="1280" w:type="dxa"/>
            <w:tcBorders>
              <w:top w:val="nil"/>
              <w:left w:val="nil"/>
              <w:bottom w:val="single" w:sz="4" w:space="0" w:color="000000"/>
              <w:right w:val="nil"/>
            </w:tcBorders>
          </w:tcPr>
          <w:p w14:paraId="2B455389" w14:textId="77777777" w:rsidR="00B46EE3" w:rsidRPr="00BC6D6A" w:rsidRDefault="00000000" w:rsidP="00E255CE">
            <w:pPr>
              <w:jc w:val="center"/>
              <w:rPr>
                <w:rFonts w:cs="Times New Roman"/>
              </w:rPr>
            </w:pPr>
            <w:r w:rsidRPr="00BC6D6A">
              <w:rPr>
                <w:rFonts w:cs="Times New Roman"/>
              </w:rPr>
              <w:t>63,83</w:t>
            </w:r>
          </w:p>
        </w:tc>
      </w:tr>
      <w:tr w:rsidR="00B46EE3" w:rsidRPr="00BC6D6A" w14:paraId="58F5A2AE" w14:textId="77777777">
        <w:trPr>
          <w:trHeight w:val="247"/>
          <w:jc w:val="center"/>
        </w:trPr>
        <w:tc>
          <w:tcPr>
            <w:tcW w:w="2689" w:type="dxa"/>
            <w:tcBorders>
              <w:left w:val="nil"/>
              <w:bottom w:val="nil"/>
              <w:right w:val="nil"/>
            </w:tcBorders>
          </w:tcPr>
          <w:p w14:paraId="7F11FDD5" w14:textId="77777777" w:rsidR="00B46EE3" w:rsidRPr="00BC6D6A" w:rsidRDefault="00000000" w:rsidP="00E255CE">
            <w:pPr>
              <w:rPr>
                <w:rFonts w:cs="Times New Roman"/>
                <w:b/>
              </w:rPr>
            </w:pPr>
            <w:proofErr w:type="spellStart"/>
            <w:r w:rsidRPr="00BC6D6A">
              <w:rPr>
                <w:rFonts w:cs="Times New Roman"/>
                <w:b/>
              </w:rPr>
              <w:t>Dosis</w:t>
            </w:r>
            <w:proofErr w:type="spellEnd"/>
          </w:p>
        </w:tc>
        <w:tc>
          <w:tcPr>
            <w:tcW w:w="1131" w:type="dxa"/>
            <w:tcBorders>
              <w:left w:val="nil"/>
              <w:bottom w:val="nil"/>
              <w:right w:val="nil"/>
            </w:tcBorders>
          </w:tcPr>
          <w:p w14:paraId="7043D04F" w14:textId="77777777" w:rsidR="00B46EE3" w:rsidRPr="00BC6D6A" w:rsidRDefault="00B46EE3" w:rsidP="00E255CE">
            <w:pPr>
              <w:jc w:val="center"/>
              <w:rPr>
                <w:rFonts w:cs="Times New Roman"/>
              </w:rPr>
            </w:pPr>
          </w:p>
        </w:tc>
        <w:tc>
          <w:tcPr>
            <w:tcW w:w="3405" w:type="dxa"/>
            <w:tcBorders>
              <w:left w:val="nil"/>
              <w:bottom w:val="nil"/>
              <w:right w:val="nil"/>
            </w:tcBorders>
          </w:tcPr>
          <w:p w14:paraId="749B5152" w14:textId="77777777" w:rsidR="00B46EE3" w:rsidRPr="00BC6D6A" w:rsidRDefault="00B46EE3" w:rsidP="00E255CE">
            <w:pPr>
              <w:jc w:val="center"/>
              <w:rPr>
                <w:rFonts w:cs="Times New Roman"/>
              </w:rPr>
            </w:pPr>
          </w:p>
        </w:tc>
        <w:tc>
          <w:tcPr>
            <w:tcW w:w="1280" w:type="dxa"/>
            <w:tcBorders>
              <w:left w:val="nil"/>
              <w:bottom w:val="nil"/>
              <w:right w:val="nil"/>
            </w:tcBorders>
          </w:tcPr>
          <w:p w14:paraId="058BA2EA" w14:textId="77777777" w:rsidR="00B46EE3" w:rsidRPr="00BC6D6A" w:rsidRDefault="00B46EE3" w:rsidP="00E255CE">
            <w:pPr>
              <w:jc w:val="center"/>
              <w:rPr>
                <w:rFonts w:cs="Times New Roman"/>
              </w:rPr>
            </w:pPr>
          </w:p>
        </w:tc>
      </w:tr>
      <w:tr w:rsidR="00B46EE3" w:rsidRPr="00BC6D6A" w14:paraId="23C96090" w14:textId="77777777">
        <w:trPr>
          <w:trHeight w:val="247"/>
          <w:jc w:val="center"/>
        </w:trPr>
        <w:tc>
          <w:tcPr>
            <w:tcW w:w="2689" w:type="dxa"/>
            <w:tcBorders>
              <w:top w:val="nil"/>
              <w:left w:val="nil"/>
              <w:bottom w:val="nil"/>
              <w:right w:val="nil"/>
            </w:tcBorders>
          </w:tcPr>
          <w:p w14:paraId="626EC57A" w14:textId="1594EDF5" w:rsidR="00B46EE3" w:rsidRPr="00BC6D6A" w:rsidRDefault="00E255CE" w:rsidP="00E255CE">
            <w:pPr>
              <w:rPr>
                <w:rFonts w:cs="Times New Roman"/>
              </w:rPr>
            </w:pPr>
            <w:r>
              <w:rPr>
                <w:rFonts w:cs="Times New Roman"/>
              </w:rPr>
              <w:t xml:space="preserve"> </w:t>
            </w:r>
            <w:r w:rsidRPr="00BC6D6A">
              <w:rPr>
                <w:rFonts w:cs="Times New Roman"/>
              </w:rPr>
              <w:t>Ceftriaxone 1 gram</w:t>
            </w:r>
          </w:p>
        </w:tc>
        <w:tc>
          <w:tcPr>
            <w:tcW w:w="1131" w:type="dxa"/>
            <w:tcBorders>
              <w:top w:val="nil"/>
              <w:left w:val="nil"/>
              <w:bottom w:val="nil"/>
              <w:right w:val="nil"/>
            </w:tcBorders>
          </w:tcPr>
          <w:p w14:paraId="4E9AB21C" w14:textId="77777777" w:rsidR="00B46EE3" w:rsidRPr="00BC6D6A" w:rsidRDefault="00000000" w:rsidP="00E255CE">
            <w:pPr>
              <w:jc w:val="center"/>
              <w:rPr>
                <w:rFonts w:cs="Times New Roman"/>
              </w:rPr>
            </w:pPr>
            <w:r w:rsidRPr="00BC6D6A">
              <w:rPr>
                <w:rFonts w:cs="Times New Roman"/>
              </w:rPr>
              <w:t>33</w:t>
            </w:r>
          </w:p>
        </w:tc>
        <w:tc>
          <w:tcPr>
            <w:tcW w:w="3405" w:type="dxa"/>
            <w:tcBorders>
              <w:top w:val="nil"/>
              <w:left w:val="nil"/>
              <w:bottom w:val="nil"/>
              <w:right w:val="nil"/>
            </w:tcBorders>
          </w:tcPr>
          <w:p w14:paraId="1FAFBF61" w14:textId="77777777" w:rsidR="00B46EE3" w:rsidRPr="00BC6D6A" w:rsidRDefault="00000000" w:rsidP="00E255CE">
            <w:pPr>
              <w:jc w:val="center"/>
              <w:rPr>
                <w:rFonts w:cs="Times New Roman"/>
              </w:rPr>
            </w:pPr>
            <w:proofErr w:type="spellStart"/>
            <w:r w:rsidRPr="00BC6D6A">
              <w:rPr>
                <w:rFonts w:cs="Times New Roman"/>
              </w:rPr>
              <w:t>Sesuai</w:t>
            </w:r>
            <w:proofErr w:type="spellEnd"/>
          </w:p>
        </w:tc>
        <w:tc>
          <w:tcPr>
            <w:tcW w:w="1280" w:type="dxa"/>
            <w:tcBorders>
              <w:top w:val="nil"/>
              <w:left w:val="nil"/>
              <w:bottom w:val="nil"/>
              <w:right w:val="nil"/>
            </w:tcBorders>
          </w:tcPr>
          <w:p w14:paraId="344DB299" w14:textId="77777777" w:rsidR="00B46EE3" w:rsidRPr="00BC6D6A" w:rsidRDefault="00000000" w:rsidP="00E255CE">
            <w:pPr>
              <w:jc w:val="center"/>
              <w:rPr>
                <w:rFonts w:cs="Times New Roman"/>
              </w:rPr>
            </w:pPr>
            <w:r w:rsidRPr="00BC6D6A">
              <w:rPr>
                <w:rFonts w:cs="Times New Roman"/>
              </w:rPr>
              <w:t>35,11</w:t>
            </w:r>
          </w:p>
        </w:tc>
      </w:tr>
      <w:tr w:rsidR="00B46EE3" w:rsidRPr="00BC6D6A" w14:paraId="4FAF57E9" w14:textId="77777777">
        <w:trPr>
          <w:trHeight w:val="247"/>
          <w:jc w:val="center"/>
        </w:trPr>
        <w:tc>
          <w:tcPr>
            <w:tcW w:w="2689" w:type="dxa"/>
            <w:tcBorders>
              <w:top w:val="nil"/>
              <w:left w:val="nil"/>
              <w:bottom w:val="nil"/>
              <w:right w:val="nil"/>
            </w:tcBorders>
          </w:tcPr>
          <w:p w14:paraId="7F8A4B00" w14:textId="0CCF33AA" w:rsidR="00B46EE3" w:rsidRPr="00BC6D6A" w:rsidRDefault="00E255CE" w:rsidP="00E255CE">
            <w:pPr>
              <w:rPr>
                <w:rFonts w:cs="Times New Roman"/>
              </w:rPr>
            </w:pPr>
            <w:r>
              <w:rPr>
                <w:rFonts w:cs="Times New Roman"/>
              </w:rPr>
              <w:t xml:space="preserve"> </w:t>
            </w:r>
            <w:r w:rsidRPr="00BC6D6A">
              <w:rPr>
                <w:rFonts w:cs="Times New Roman"/>
              </w:rPr>
              <w:t>Ceftriaxone 2 gram</w:t>
            </w:r>
          </w:p>
        </w:tc>
        <w:tc>
          <w:tcPr>
            <w:tcW w:w="1131" w:type="dxa"/>
            <w:tcBorders>
              <w:top w:val="nil"/>
              <w:left w:val="nil"/>
              <w:bottom w:val="nil"/>
              <w:right w:val="nil"/>
            </w:tcBorders>
          </w:tcPr>
          <w:p w14:paraId="776C4545" w14:textId="77777777" w:rsidR="00B46EE3" w:rsidRPr="00BC6D6A" w:rsidRDefault="00000000" w:rsidP="00E255CE">
            <w:pPr>
              <w:jc w:val="center"/>
              <w:rPr>
                <w:rFonts w:cs="Times New Roman"/>
              </w:rPr>
            </w:pPr>
            <w:r w:rsidRPr="00BC6D6A">
              <w:rPr>
                <w:rFonts w:cs="Times New Roman"/>
              </w:rPr>
              <w:t>59</w:t>
            </w:r>
          </w:p>
        </w:tc>
        <w:tc>
          <w:tcPr>
            <w:tcW w:w="3405" w:type="dxa"/>
            <w:tcBorders>
              <w:top w:val="nil"/>
              <w:left w:val="nil"/>
              <w:bottom w:val="nil"/>
              <w:right w:val="nil"/>
            </w:tcBorders>
          </w:tcPr>
          <w:p w14:paraId="0FAA5517" w14:textId="77777777" w:rsidR="00B46EE3" w:rsidRPr="00BC6D6A" w:rsidRDefault="00000000" w:rsidP="00E255CE">
            <w:pPr>
              <w:jc w:val="center"/>
              <w:rPr>
                <w:rFonts w:cs="Times New Roman"/>
              </w:rPr>
            </w:pPr>
            <w:proofErr w:type="spellStart"/>
            <w:r w:rsidRPr="00BC6D6A">
              <w:rPr>
                <w:rFonts w:cs="Times New Roman"/>
              </w:rPr>
              <w:t>Sesuai</w:t>
            </w:r>
            <w:proofErr w:type="spellEnd"/>
          </w:p>
        </w:tc>
        <w:tc>
          <w:tcPr>
            <w:tcW w:w="1280" w:type="dxa"/>
            <w:tcBorders>
              <w:top w:val="nil"/>
              <w:left w:val="nil"/>
              <w:bottom w:val="nil"/>
              <w:right w:val="nil"/>
            </w:tcBorders>
          </w:tcPr>
          <w:p w14:paraId="148F11EC" w14:textId="77777777" w:rsidR="00B46EE3" w:rsidRPr="00BC6D6A" w:rsidRDefault="00000000" w:rsidP="00E255CE">
            <w:pPr>
              <w:jc w:val="center"/>
              <w:rPr>
                <w:rFonts w:cs="Times New Roman"/>
              </w:rPr>
            </w:pPr>
            <w:r w:rsidRPr="00BC6D6A">
              <w:rPr>
                <w:rFonts w:cs="Times New Roman"/>
              </w:rPr>
              <w:t>62,77</w:t>
            </w:r>
          </w:p>
        </w:tc>
      </w:tr>
      <w:tr w:rsidR="00B46EE3" w:rsidRPr="00BC6D6A" w14:paraId="5402B9C7" w14:textId="77777777">
        <w:trPr>
          <w:trHeight w:val="247"/>
          <w:jc w:val="center"/>
        </w:trPr>
        <w:tc>
          <w:tcPr>
            <w:tcW w:w="2689" w:type="dxa"/>
            <w:tcBorders>
              <w:top w:val="nil"/>
              <w:left w:val="nil"/>
              <w:right w:val="nil"/>
            </w:tcBorders>
          </w:tcPr>
          <w:p w14:paraId="14CC62EF" w14:textId="38EC5CF7" w:rsidR="00B46EE3" w:rsidRPr="00BC6D6A" w:rsidRDefault="00E255CE" w:rsidP="00E255CE">
            <w:pPr>
              <w:rPr>
                <w:rFonts w:cs="Times New Roman"/>
              </w:rPr>
            </w:pPr>
            <w:r>
              <w:rPr>
                <w:rFonts w:cs="Times New Roman"/>
              </w:rPr>
              <w:t xml:space="preserve"> </w:t>
            </w:r>
            <w:r w:rsidRPr="00BC6D6A">
              <w:rPr>
                <w:rFonts w:cs="Times New Roman"/>
              </w:rPr>
              <w:t>Ciprofloxacin 2x500 mg</w:t>
            </w:r>
          </w:p>
        </w:tc>
        <w:tc>
          <w:tcPr>
            <w:tcW w:w="1131" w:type="dxa"/>
            <w:tcBorders>
              <w:top w:val="nil"/>
              <w:left w:val="nil"/>
              <w:right w:val="nil"/>
            </w:tcBorders>
          </w:tcPr>
          <w:p w14:paraId="7FFC23C4" w14:textId="77777777" w:rsidR="00B46EE3" w:rsidRPr="00BC6D6A" w:rsidRDefault="00000000" w:rsidP="00E255CE">
            <w:pPr>
              <w:jc w:val="center"/>
              <w:rPr>
                <w:rFonts w:cs="Times New Roman"/>
              </w:rPr>
            </w:pPr>
            <w:r w:rsidRPr="00BC6D6A">
              <w:rPr>
                <w:rFonts w:cs="Times New Roman"/>
              </w:rPr>
              <w:t>2</w:t>
            </w:r>
          </w:p>
        </w:tc>
        <w:tc>
          <w:tcPr>
            <w:tcW w:w="3405" w:type="dxa"/>
            <w:tcBorders>
              <w:top w:val="nil"/>
              <w:left w:val="nil"/>
              <w:right w:val="nil"/>
            </w:tcBorders>
          </w:tcPr>
          <w:p w14:paraId="06F51835" w14:textId="77777777" w:rsidR="00B46EE3" w:rsidRPr="00BC6D6A" w:rsidRDefault="00000000" w:rsidP="00E255CE">
            <w:pPr>
              <w:jc w:val="center"/>
              <w:rPr>
                <w:rFonts w:cs="Times New Roman"/>
              </w:rPr>
            </w:pPr>
            <w:r w:rsidRPr="00BC6D6A">
              <w:rPr>
                <w:rFonts w:cs="Times New Roman"/>
              </w:rPr>
              <w:t xml:space="preserve">Tidak </w:t>
            </w:r>
            <w:proofErr w:type="spellStart"/>
            <w:r w:rsidRPr="00BC6D6A">
              <w:rPr>
                <w:rFonts w:cs="Times New Roman"/>
              </w:rPr>
              <w:t>Sesuai</w:t>
            </w:r>
            <w:proofErr w:type="spellEnd"/>
          </w:p>
        </w:tc>
        <w:tc>
          <w:tcPr>
            <w:tcW w:w="1280" w:type="dxa"/>
            <w:tcBorders>
              <w:top w:val="nil"/>
              <w:left w:val="nil"/>
              <w:right w:val="nil"/>
            </w:tcBorders>
          </w:tcPr>
          <w:p w14:paraId="03AE626E" w14:textId="77777777" w:rsidR="00B46EE3" w:rsidRPr="00BC6D6A" w:rsidRDefault="00000000" w:rsidP="00E255CE">
            <w:pPr>
              <w:jc w:val="center"/>
              <w:rPr>
                <w:rFonts w:cs="Times New Roman"/>
              </w:rPr>
            </w:pPr>
            <w:r w:rsidRPr="00BC6D6A">
              <w:rPr>
                <w:rFonts w:cs="Times New Roman"/>
              </w:rPr>
              <w:t>2,13</w:t>
            </w:r>
          </w:p>
        </w:tc>
      </w:tr>
    </w:tbl>
    <w:p w14:paraId="4DCFF2AA" w14:textId="77777777" w:rsidR="00B46EE3" w:rsidRPr="00BC6D6A" w:rsidRDefault="00B46EE3">
      <w:pPr>
        <w:spacing w:line="360" w:lineRule="auto"/>
        <w:jc w:val="both"/>
        <w:rPr>
          <w:rFonts w:cs="Times New Roman"/>
          <w:sz w:val="22"/>
          <w:szCs w:val="22"/>
        </w:rPr>
      </w:pPr>
    </w:p>
    <w:p w14:paraId="3D9D3069" w14:textId="77777777" w:rsidR="00B46EE3" w:rsidRPr="00BC6D6A" w:rsidRDefault="00000000">
      <w:pPr>
        <w:spacing w:line="360" w:lineRule="auto"/>
        <w:ind w:firstLine="284"/>
        <w:jc w:val="both"/>
        <w:rPr>
          <w:rFonts w:cs="Times New Roman"/>
          <w:sz w:val="22"/>
          <w:szCs w:val="22"/>
        </w:rPr>
      </w:pPr>
      <w:bookmarkStart w:id="8" w:name="_heading=h.4d34og8" w:colFirst="0" w:colLast="0"/>
      <w:bookmarkEnd w:id="8"/>
      <w:r w:rsidRPr="00BC6D6A">
        <w:rPr>
          <w:rFonts w:cs="Times New Roman"/>
          <w:sz w:val="22"/>
          <w:szCs w:val="22"/>
        </w:rPr>
        <w:t xml:space="preserve">Hasil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seluruh</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yang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rute</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dan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umum</w:t>
      </w:r>
      <w:proofErr w:type="spellEnd"/>
      <w:r w:rsidRPr="00BC6D6A">
        <w:rPr>
          <w:rFonts w:cs="Times New Roman"/>
          <w:sz w:val="22"/>
          <w:szCs w:val="22"/>
        </w:rPr>
        <w:t xml:space="preserve"> (ASHP, 2013; </w:t>
      </w:r>
      <w:proofErr w:type="spellStart"/>
      <w:r w:rsidRPr="00BC6D6A">
        <w:rPr>
          <w:rFonts w:cs="Times New Roman"/>
          <w:sz w:val="22"/>
          <w:szCs w:val="22"/>
        </w:rPr>
        <w:t>Bratzler</w:t>
      </w:r>
      <w:proofErr w:type="spellEnd"/>
      <w:r w:rsidRPr="00BC6D6A">
        <w:rPr>
          <w:rFonts w:cs="Times New Roman"/>
          <w:sz w:val="22"/>
          <w:szCs w:val="22"/>
        </w:rPr>
        <w:t xml:space="preserve"> et al., 2013; </w:t>
      </w:r>
      <w:proofErr w:type="spellStart"/>
      <w:r w:rsidRPr="00BC6D6A">
        <w:rPr>
          <w:rFonts w:cs="Times New Roman"/>
          <w:sz w:val="22"/>
          <w:szCs w:val="22"/>
        </w:rPr>
        <w:t>Kemenkes</w:t>
      </w:r>
      <w:proofErr w:type="spellEnd"/>
      <w:r w:rsidRPr="00BC6D6A">
        <w:rPr>
          <w:rFonts w:cs="Times New Roman"/>
          <w:sz w:val="22"/>
          <w:szCs w:val="22"/>
        </w:rPr>
        <w:t xml:space="preserve"> RI, 2021).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w:t>
      </w:r>
      <w:proofErr w:type="spellStart"/>
      <w:r w:rsidRPr="00BC6D6A">
        <w:rPr>
          <w:rFonts w:cs="Times New Roman"/>
          <w:sz w:val="22"/>
          <w:szCs w:val="22"/>
        </w:rPr>
        <w:t>baik</w:t>
      </w:r>
      <w:proofErr w:type="spellEnd"/>
      <w:r w:rsidRPr="00BC6D6A">
        <w:rPr>
          <w:rFonts w:cs="Times New Roman"/>
          <w:sz w:val="22"/>
          <w:szCs w:val="22"/>
        </w:rPr>
        <w:t xml:space="preserve"> ceftriaxone </w:t>
      </w:r>
      <w:proofErr w:type="spellStart"/>
      <w:r w:rsidRPr="00BC6D6A">
        <w:rPr>
          <w:rFonts w:cs="Times New Roman"/>
          <w:sz w:val="22"/>
          <w:szCs w:val="22"/>
        </w:rPr>
        <w:t>maupun</w:t>
      </w:r>
      <w:proofErr w:type="spellEnd"/>
      <w:r w:rsidRPr="00BC6D6A">
        <w:rPr>
          <w:rFonts w:cs="Times New Roman"/>
          <w:sz w:val="22"/>
          <w:szCs w:val="22"/>
        </w:rPr>
        <w:t xml:space="preserve"> ciprofloxacin, </w:t>
      </w:r>
      <w:proofErr w:type="spellStart"/>
      <w:r w:rsidRPr="00BC6D6A">
        <w:rPr>
          <w:rFonts w:cs="Times New Roman"/>
          <w:sz w:val="22"/>
          <w:szCs w:val="22"/>
        </w:rPr>
        <w:t>dianggap</w:t>
      </w:r>
      <w:proofErr w:type="spellEnd"/>
      <w:r w:rsidRPr="00BC6D6A">
        <w:rPr>
          <w:rFonts w:cs="Times New Roman"/>
          <w:sz w:val="22"/>
          <w:szCs w:val="22"/>
        </w:rPr>
        <w:t xml:space="preserve"> ideal </w:t>
      </w:r>
      <w:proofErr w:type="spellStart"/>
      <w:r w:rsidRPr="00BC6D6A">
        <w:rPr>
          <w:rFonts w:cs="Times New Roman"/>
          <w:sz w:val="22"/>
          <w:szCs w:val="22"/>
        </w:rPr>
        <w:t>karena</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akan</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cepat</w:t>
      </w:r>
      <w:proofErr w:type="spellEnd"/>
      <w:r w:rsidRPr="00BC6D6A">
        <w:rPr>
          <w:rFonts w:cs="Times New Roman"/>
          <w:sz w:val="22"/>
          <w:szCs w:val="22"/>
        </w:rPr>
        <w:t xml:space="preserve"> </w:t>
      </w:r>
      <w:proofErr w:type="spellStart"/>
      <w:r w:rsidRPr="00BC6D6A">
        <w:rPr>
          <w:rFonts w:cs="Times New Roman"/>
          <w:sz w:val="22"/>
          <w:szCs w:val="22"/>
        </w:rPr>
        <w:t>terdistribusi</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serum dan </w:t>
      </w:r>
      <w:proofErr w:type="spellStart"/>
      <w:r w:rsidRPr="00BC6D6A">
        <w:rPr>
          <w:rFonts w:cs="Times New Roman"/>
          <w:sz w:val="22"/>
          <w:szCs w:val="22"/>
        </w:rPr>
        <w:t>jaringan</w:t>
      </w:r>
      <w:proofErr w:type="spellEnd"/>
      <w:r w:rsidRPr="00BC6D6A">
        <w:rPr>
          <w:rFonts w:cs="Times New Roman"/>
          <w:sz w:val="22"/>
          <w:szCs w:val="22"/>
        </w:rPr>
        <w:t xml:space="preserve"> </w:t>
      </w:r>
      <w:proofErr w:type="spellStart"/>
      <w:r w:rsidRPr="00BC6D6A">
        <w:rPr>
          <w:rFonts w:cs="Times New Roman"/>
          <w:sz w:val="22"/>
          <w:szCs w:val="22"/>
        </w:rPr>
        <w:t>dibandingkan</w:t>
      </w:r>
      <w:proofErr w:type="spellEnd"/>
      <w:r w:rsidRPr="00BC6D6A">
        <w:rPr>
          <w:rFonts w:cs="Times New Roman"/>
          <w:sz w:val="22"/>
          <w:szCs w:val="22"/>
        </w:rPr>
        <w:t xml:space="preserve"> per-oral. </w:t>
      </w:r>
      <w:proofErr w:type="spellStart"/>
      <w:r w:rsidRPr="00BC6D6A">
        <w:rPr>
          <w:rFonts w:cs="Times New Roman"/>
          <w:sz w:val="22"/>
          <w:szCs w:val="22"/>
        </w:rPr>
        <w:t>Antibiotik</w:t>
      </w:r>
      <w:proofErr w:type="spellEnd"/>
      <w:r w:rsidRPr="00BC6D6A">
        <w:rPr>
          <w:rFonts w:cs="Times New Roman"/>
          <w:sz w:val="22"/>
          <w:szCs w:val="22"/>
        </w:rPr>
        <w:t xml:space="preserve"> juga </w:t>
      </w:r>
      <w:proofErr w:type="spellStart"/>
      <w:r w:rsidRPr="00BC6D6A">
        <w:rPr>
          <w:rFonts w:cs="Times New Roman"/>
          <w:sz w:val="22"/>
          <w:szCs w:val="22"/>
        </w:rPr>
        <w:t>mudah</w:t>
      </w:r>
      <w:proofErr w:type="spellEnd"/>
      <w:r w:rsidRPr="00BC6D6A">
        <w:rPr>
          <w:rFonts w:cs="Times New Roman"/>
          <w:sz w:val="22"/>
          <w:szCs w:val="22"/>
        </w:rPr>
        <w:t xml:space="preserve"> </w:t>
      </w:r>
      <w:proofErr w:type="spellStart"/>
      <w:r w:rsidRPr="00BC6D6A">
        <w:rPr>
          <w:rFonts w:cs="Times New Roman"/>
          <w:sz w:val="22"/>
          <w:szCs w:val="22"/>
        </w:rPr>
        <w:t>mencapai</w:t>
      </w:r>
      <w:proofErr w:type="spellEnd"/>
      <w:r w:rsidRPr="00BC6D6A">
        <w:rPr>
          <w:rFonts w:cs="Times New Roman"/>
          <w:sz w:val="22"/>
          <w:szCs w:val="22"/>
        </w:rPr>
        <w:t xml:space="preserve"> </w:t>
      </w:r>
      <w:proofErr w:type="spellStart"/>
      <w:r w:rsidRPr="00BC6D6A">
        <w:rPr>
          <w:rFonts w:cs="Times New Roman"/>
          <w:sz w:val="22"/>
          <w:szCs w:val="22"/>
        </w:rPr>
        <w:t>konsentrasi</w:t>
      </w:r>
      <w:proofErr w:type="spellEnd"/>
      <w:r w:rsidRPr="00BC6D6A">
        <w:rPr>
          <w:rFonts w:cs="Times New Roman"/>
          <w:sz w:val="22"/>
          <w:szCs w:val="22"/>
        </w:rPr>
        <w:t xml:space="preserve"> </w:t>
      </w:r>
      <w:proofErr w:type="spellStart"/>
      <w:r w:rsidRPr="00BC6D6A">
        <w:rPr>
          <w:rFonts w:cs="Times New Roman"/>
          <w:sz w:val="22"/>
          <w:szCs w:val="22"/>
        </w:rPr>
        <w:t>tinggi</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darah</w:t>
      </w:r>
      <w:proofErr w:type="spellEnd"/>
      <w:r w:rsidRPr="00BC6D6A">
        <w:rPr>
          <w:rFonts w:cs="Times New Roman"/>
          <w:sz w:val="22"/>
          <w:szCs w:val="22"/>
        </w:rPr>
        <w:t xml:space="preserve">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lokasi</w:t>
      </w:r>
      <w:proofErr w:type="spellEnd"/>
      <w:r w:rsidRPr="00BC6D6A">
        <w:rPr>
          <w:rFonts w:cs="Times New Roman"/>
          <w:sz w:val="22"/>
          <w:szCs w:val="22"/>
        </w:rPr>
        <w:t xml:space="preserve"> </w:t>
      </w:r>
      <w:proofErr w:type="spellStart"/>
      <w:r w:rsidRPr="00BC6D6A">
        <w:rPr>
          <w:rFonts w:cs="Times New Roman"/>
          <w:sz w:val="22"/>
          <w:szCs w:val="22"/>
        </w:rPr>
        <w:t>sayatan</w:t>
      </w:r>
      <w:proofErr w:type="spellEnd"/>
      <w:r w:rsidRPr="00BC6D6A">
        <w:rPr>
          <w:rFonts w:cs="Times New Roman"/>
          <w:sz w:val="22"/>
          <w:szCs w:val="22"/>
        </w:rPr>
        <w:t xml:space="preserve"> (ASHP, 2013). Ceftriaxone </w:t>
      </w:r>
      <w:proofErr w:type="spellStart"/>
      <w:r w:rsidRPr="00BC6D6A">
        <w:rPr>
          <w:rFonts w:cs="Times New Roman"/>
          <w:sz w:val="22"/>
          <w:szCs w:val="22"/>
        </w:rPr>
        <w:t>dengan</w:t>
      </w:r>
      <w:proofErr w:type="spellEnd"/>
      <w:r w:rsidRPr="00BC6D6A">
        <w:rPr>
          <w:rFonts w:cs="Times New Roman"/>
          <w:sz w:val="22"/>
          <w:szCs w:val="22"/>
        </w:rPr>
        <w:t xml:space="preserve"> volume </w:t>
      </w:r>
      <w:proofErr w:type="spellStart"/>
      <w:r w:rsidRPr="00BC6D6A">
        <w:rPr>
          <w:rFonts w:cs="Times New Roman"/>
          <w:sz w:val="22"/>
          <w:szCs w:val="22"/>
        </w:rPr>
        <w:t>distrbusi</w:t>
      </w:r>
      <w:proofErr w:type="spellEnd"/>
      <w:r w:rsidRPr="00BC6D6A">
        <w:rPr>
          <w:rFonts w:cs="Times New Roman"/>
          <w:sz w:val="22"/>
          <w:szCs w:val="22"/>
        </w:rPr>
        <w:t xml:space="preserve"> (</w:t>
      </w:r>
      <w:proofErr w:type="spellStart"/>
      <w:r w:rsidRPr="00BC6D6A">
        <w:rPr>
          <w:rFonts w:cs="Times New Roman"/>
          <w:sz w:val="22"/>
          <w:szCs w:val="22"/>
        </w:rPr>
        <w:t>Vd</w:t>
      </w:r>
      <w:proofErr w:type="spellEnd"/>
      <w:r w:rsidRPr="00BC6D6A">
        <w:rPr>
          <w:rFonts w:cs="Times New Roman"/>
          <w:sz w:val="22"/>
          <w:szCs w:val="22"/>
        </w:rPr>
        <w:t xml:space="preserve">) 6-14 L, </w:t>
      </w:r>
      <w:proofErr w:type="spellStart"/>
      <w:r w:rsidRPr="00BC6D6A">
        <w:rPr>
          <w:rFonts w:cs="Times New Roman"/>
          <w:sz w:val="22"/>
          <w:szCs w:val="22"/>
        </w:rPr>
        <w:t>mengikat</w:t>
      </w:r>
      <w:proofErr w:type="spellEnd"/>
      <w:r w:rsidRPr="00BC6D6A">
        <w:rPr>
          <w:rFonts w:cs="Times New Roman"/>
          <w:sz w:val="22"/>
          <w:szCs w:val="22"/>
        </w:rPr>
        <w:t xml:space="preserve"> protein 85-95%, </w:t>
      </w:r>
      <w:proofErr w:type="spellStart"/>
      <w:r w:rsidRPr="00BC6D6A">
        <w:rPr>
          <w:rFonts w:cs="Times New Roman"/>
          <w:sz w:val="22"/>
          <w:szCs w:val="22"/>
        </w:rPr>
        <w:t>konsentrasi</w:t>
      </w:r>
      <w:proofErr w:type="spellEnd"/>
      <w:r w:rsidRPr="00BC6D6A">
        <w:rPr>
          <w:rFonts w:cs="Times New Roman"/>
          <w:sz w:val="22"/>
          <w:szCs w:val="22"/>
        </w:rPr>
        <w:t xml:space="preserve"> plasma rata-rata 151 mcg/ml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0,5 jam </w:t>
      </w:r>
      <w:proofErr w:type="spellStart"/>
      <w:r w:rsidRPr="00BC6D6A">
        <w:rPr>
          <w:rFonts w:cs="Times New Roman"/>
          <w:sz w:val="22"/>
          <w:szCs w:val="22"/>
        </w:rPr>
        <w:t>untuk</w:t>
      </w:r>
      <w:proofErr w:type="spellEnd"/>
      <w:r w:rsidRPr="00BC6D6A">
        <w:rPr>
          <w:rFonts w:cs="Times New Roman"/>
          <w:sz w:val="22"/>
          <w:szCs w:val="22"/>
        </w:rPr>
        <w:t xml:space="preserve"> </w:t>
      </w:r>
      <w:proofErr w:type="gramStart"/>
      <w:r w:rsidRPr="00BC6D6A">
        <w:rPr>
          <w:rFonts w:cs="Times New Roman"/>
          <w:sz w:val="22"/>
          <w:szCs w:val="22"/>
        </w:rPr>
        <w:t>1 gram</w:t>
      </w:r>
      <w:proofErr w:type="gram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dan </w:t>
      </w:r>
      <w:proofErr w:type="spellStart"/>
      <w:r w:rsidRPr="00BC6D6A">
        <w:rPr>
          <w:rFonts w:cs="Times New Roman"/>
          <w:sz w:val="22"/>
          <w:szCs w:val="22"/>
        </w:rPr>
        <w:t>membutuhkan</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2-3 jam </w:t>
      </w:r>
      <w:proofErr w:type="spellStart"/>
      <w:r w:rsidRPr="00BC6D6A">
        <w:rPr>
          <w:rFonts w:cs="Times New Roman"/>
          <w:sz w:val="22"/>
          <w:szCs w:val="22"/>
        </w:rPr>
        <w:t>mencapai</w:t>
      </w:r>
      <w:proofErr w:type="spellEnd"/>
      <w:r w:rsidRPr="00BC6D6A">
        <w:rPr>
          <w:rFonts w:cs="Times New Roman"/>
          <w:sz w:val="22"/>
          <w:szCs w:val="22"/>
        </w:rPr>
        <w:t xml:space="preserve"> </w:t>
      </w:r>
      <w:proofErr w:type="spellStart"/>
      <w:r w:rsidRPr="00BC6D6A">
        <w:rPr>
          <w:rFonts w:cs="Times New Roman"/>
          <w:sz w:val="22"/>
          <w:szCs w:val="22"/>
        </w:rPr>
        <w:t>konsentrasi</w:t>
      </w:r>
      <w:proofErr w:type="spellEnd"/>
      <w:r w:rsidRPr="00BC6D6A">
        <w:rPr>
          <w:rFonts w:cs="Times New Roman"/>
          <w:sz w:val="22"/>
          <w:szCs w:val="22"/>
        </w:rPr>
        <w:t xml:space="preserve"> </w:t>
      </w:r>
      <w:proofErr w:type="spellStart"/>
      <w:r w:rsidRPr="00BC6D6A">
        <w:rPr>
          <w:rFonts w:cs="Times New Roman"/>
          <w:sz w:val="22"/>
          <w:szCs w:val="22"/>
        </w:rPr>
        <w:t>puncak</w:t>
      </w:r>
      <w:proofErr w:type="spellEnd"/>
      <w:r w:rsidRPr="00BC6D6A">
        <w:rPr>
          <w:rFonts w:cs="Times New Roman"/>
          <w:sz w:val="22"/>
          <w:szCs w:val="22"/>
        </w:rPr>
        <w:t xml:space="preserve"> plasma,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paruh</w:t>
      </w:r>
      <w:proofErr w:type="spellEnd"/>
      <w:r w:rsidRPr="00BC6D6A">
        <w:rPr>
          <w:rFonts w:cs="Times New Roman"/>
          <w:sz w:val="22"/>
          <w:szCs w:val="22"/>
        </w:rPr>
        <w:t xml:space="preserve"> 7-8 jam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diekresi</w:t>
      </w:r>
      <w:proofErr w:type="spellEnd"/>
      <w:r w:rsidRPr="00BC6D6A">
        <w:rPr>
          <w:rFonts w:cs="Times New Roman"/>
          <w:sz w:val="22"/>
          <w:szCs w:val="22"/>
        </w:rPr>
        <w:t xml:space="preserve"> </w:t>
      </w:r>
      <w:proofErr w:type="spellStart"/>
      <w:r w:rsidRPr="00BC6D6A">
        <w:rPr>
          <w:rFonts w:cs="Times New Roman"/>
          <w:sz w:val="22"/>
          <w:szCs w:val="22"/>
        </w:rPr>
        <w:t>urin</w:t>
      </w:r>
      <w:proofErr w:type="spellEnd"/>
      <w:r w:rsidRPr="00BC6D6A">
        <w:rPr>
          <w:rFonts w:cs="Times New Roman"/>
          <w:sz w:val="22"/>
          <w:szCs w:val="22"/>
        </w:rPr>
        <w:t xml:space="preserve"> 33-67% (FDA, 2004; Katzung, 2021). Dan ciprofloxacin </w:t>
      </w:r>
      <w:proofErr w:type="spellStart"/>
      <w:r w:rsidRPr="00BC6D6A">
        <w:rPr>
          <w:rFonts w:cs="Times New Roman"/>
          <w:sz w:val="22"/>
          <w:szCs w:val="22"/>
        </w:rPr>
        <w:t>dengan</w:t>
      </w:r>
      <w:proofErr w:type="spellEnd"/>
      <w:r w:rsidRPr="00BC6D6A">
        <w:rPr>
          <w:rFonts w:cs="Times New Roman"/>
          <w:sz w:val="22"/>
          <w:szCs w:val="22"/>
        </w:rPr>
        <w:t xml:space="preserve"> volume </w:t>
      </w:r>
      <w:proofErr w:type="spellStart"/>
      <w:r w:rsidRPr="00BC6D6A">
        <w:rPr>
          <w:rFonts w:cs="Times New Roman"/>
          <w:sz w:val="22"/>
          <w:szCs w:val="22"/>
        </w:rPr>
        <w:t>distribusi</w:t>
      </w:r>
      <w:proofErr w:type="spellEnd"/>
      <w:r w:rsidRPr="00BC6D6A">
        <w:rPr>
          <w:rFonts w:cs="Times New Roman"/>
          <w:sz w:val="22"/>
          <w:szCs w:val="22"/>
        </w:rPr>
        <w:t xml:space="preserve"> (</w:t>
      </w:r>
      <w:proofErr w:type="spellStart"/>
      <w:r w:rsidRPr="00BC6D6A">
        <w:rPr>
          <w:rFonts w:cs="Times New Roman"/>
          <w:sz w:val="22"/>
          <w:szCs w:val="22"/>
        </w:rPr>
        <w:t>Vd</w:t>
      </w:r>
      <w:proofErr w:type="spellEnd"/>
      <w:r w:rsidRPr="00BC6D6A">
        <w:rPr>
          <w:rFonts w:cs="Times New Roman"/>
          <w:sz w:val="22"/>
          <w:szCs w:val="22"/>
        </w:rPr>
        <w:t xml:space="preserve">) 2,1-2,7 L/Kg, </w:t>
      </w:r>
      <w:proofErr w:type="spellStart"/>
      <w:r w:rsidRPr="00BC6D6A">
        <w:rPr>
          <w:rFonts w:cs="Times New Roman"/>
          <w:sz w:val="22"/>
          <w:szCs w:val="22"/>
        </w:rPr>
        <w:t>mengikat</w:t>
      </w:r>
      <w:proofErr w:type="spellEnd"/>
      <w:r w:rsidRPr="00BC6D6A">
        <w:rPr>
          <w:rFonts w:cs="Times New Roman"/>
          <w:sz w:val="22"/>
          <w:szCs w:val="22"/>
        </w:rPr>
        <w:t xml:space="preserve"> protein 20-40%,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puncak</w:t>
      </w:r>
      <w:proofErr w:type="spellEnd"/>
      <w:r w:rsidRPr="00BC6D6A">
        <w:rPr>
          <w:rFonts w:cs="Times New Roman"/>
          <w:sz w:val="22"/>
          <w:szCs w:val="22"/>
        </w:rPr>
        <w:t xml:space="preserve"> </w:t>
      </w:r>
      <w:r w:rsidRPr="00BC6D6A">
        <w:rPr>
          <w:rFonts w:cs="Times New Roman"/>
          <w:sz w:val="22"/>
          <w:szCs w:val="22"/>
        </w:rPr>
        <w:lastRenderedPageBreak/>
        <w:t xml:space="preserve">plasma 0,5-2 jam,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paruh</w:t>
      </w:r>
      <w:proofErr w:type="spellEnd"/>
      <w:r w:rsidRPr="00BC6D6A">
        <w:rPr>
          <w:rFonts w:cs="Times New Roman"/>
          <w:sz w:val="22"/>
          <w:szCs w:val="22"/>
        </w:rPr>
        <w:t xml:space="preserve"> 3-5 jam dan </w:t>
      </w:r>
      <w:proofErr w:type="spellStart"/>
      <w:r w:rsidRPr="00BC6D6A">
        <w:rPr>
          <w:rFonts w:cs="Times New Roman"/>
          <w:sz w:val="22"/>
          <w:szCs w:val="22"/>
        </w:rPr>
        <w:t>diekresi</w:t>
      </w:r>
      <w:proofErr w:type="spellEnd"/>
      <w:r w:rsidRPr="00BC6D6A">
        <w:rPr>
          <w:rFonts w:cs="Times New Roman"/>
          <w:sz w:val="22"/>
          <w:szCs w:val="22"/>
        </w:rPr>
        <w:t xml:space="preserve"> </w:t>
      </w:r>
      <w:proofErr w:type="spellStart"/>
      <w:r w:rsidRPr="00BC6D6A">
        <w:rPr>
          <w:rFonts w:cs="Times New Roman"/>
          <w:sz w:val="22"/>
          <w:szCs w:val="22"/>
        </w:rPr>
        <w:t>urin</w:t>
      </w:r>
      <w:proofErr w:type="spellEnd"/>
      <w:r w:rsidRPr="00BC6D6A">
        <w:rPr>
          <w:rFonts w:cs="Times New Roman"/>
          <w:sz w:val="22"/>
          <w:szCs w:val="22"/>
        </w:rPr>
        <w:t xml:space="preserve"> 30-50% 3-7 jam (FDA, 2024; Katzung, 2021). Dan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rata-rata 45 </w:t>
      </w:r>
      <w:proofErr w:type="spellStart"/>
      <w:r w:rsidRPr="00BC6D6A">
        <w:rPr>
          <w:rFonts w:cs="Times New Roman"/>
          <w:sz w:val="22"/>
          <w:szCs w:val="22"/>
        </w:rPr>
        <w:t>menit</w:t>
      </w:r>
      <w:proofErr w:type="spellEnd"/>
      <w:r w:rsidRPr="00BC6D6A">
        <w:rPr>
          <w:rFonts w:cs="Times New Roman"/>
          <w:sz w:val="22"/>
          <w:szCs w:val="22"/>
        </w:rPr>
        <w:t xml:space="preserve"> </w:t>
      </w:r>
      <w:proofErr w:type="spellStart"/>
      <w:r w:rsidRPr="00BC6D6A">
        <w:rPr>
          <w:rFonts w:cs="Times New Roman"/>
          <w:sz w:val="22"/>
          <w:szCs w:val="22"/>
        </w:rPr>
        <w:t>sampai</w:t>
      </w:r>
      <w:proofErr w:type="spellEnd"/>
      <w:r w:rsidRPr="00BC6D6A">
        <w:rPr>
          <w:rFonts w:cs="Times New Roman"/>
          <w:sz w:val="22"/>
          <w:szCs w:val="22"/>
        </w:rPr>
        <w:t xml:space="preserve"> 1 jam (Arif </w:t>
      </w:r>
      <w:proofErr w:type="spellStart"/>
      <w:r w:rsidRPr="00BC6D6A">
        <w:rPr>
          <w:rFonts w:cs="Times New Roman"/>
          <w:sz w:val="22"/>
          <w:szCs w:val="22"/>
        </w:rPr>
        <w:t>Mansjoer</w:t>
      </w:r>
      <w:proofErr w:type="spellEnd"/>
      <w:r w:rsidRPr="00BC6D6A">
        <w:rPr>
          <w:rFonts w:cs="Times New Roman"/>
          <w:sz w:val="22"/>
          <w:szCs w:val="22"/>
        </w:rPr>
        <w:t xml:space="preserve">, 2005). </w:t>
      </w:r>
      <w:proofErr w:type="spellStart"/>
      <w:r w:rsidRPr="00BC6D6A">
        <w:rPr>
          <w:rFonts w:cs="Times New Roman"/>
          <w:sz w:val="22"/>
          <w:szCs w:val="22"/>
        </w:rPr>
        <w:t>Sehingga</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bisa</w:t>
      </w:r>
      <w:proofErr w:type="spellEnd"/>
      <w:r w:rsidRPr="00BC6D6A">
        <w:rPr>
          <w:rFonts w:cs="Times New Roman"/>
          <w:sz w:val="22"/>
          <w:szCs w:val="22"/>
        </w:rPr>
        <w:t xml:space="preserve"> </w:t>
      </w:r>
      <w:proofErr w:type="spellStart"/>
      <w:r w:rsidRPr="00BC6D6A">
        <w:rPr>
          <w:rFonts w:cs="Times New Roman"/>
          <w:sz w:val="22"/>
          <w:szCs w:val="22"/>
        </w:rPr>
        <w:t>mencapai</w:t>
      </w:r>
      <w:proofErr w:type="spellEnd"/>
      <w:r w:rsidRPr="00BC6D6A">
        <w:rPr>
          <w:rFonts w:cs="Times New Roman"/>
          <w:sz w:val="22"/>
          <w:szCs w:val="22"/>
        </w:rPr>
        <w:t xml:space="preserve"> </w:t>
      </w:r>
      <w:proofErr w:type="spellStart"/>
      <w:r w:rsidRPr="00BC6D6A">
        <w:rPr>
          <w:rFonts w:cs="Times New Roman"/>
          <w:sz w:val="22"/>
          <w:szCs w:val="22"/>
        </w:rPr>
        <w:t>konsentrasi</w:t>
      </w:r>
      <w:proofErr w:type="spellEnd"/>
      <w:r w:rsidRPr="00BC6D6A">
        <w:rPr>
          <w:rFonts w:cs="Times New Roman"/>
          <w:sz w:val="22"/>
          <w:szCs w:val="22"/>
        </w:rPr>
        <w:t xml:space="preserve"> yang </w:t>
      </w:r>
      <w:proofErr w:type="spellStart"/>
      <w:r w:rsidRPr="00BC6D6A">
        <w:rPr>
          <w:rFonts w:cs="Times New Roman"/>
          <w:sz w:val="22"/>
          <w:szCs w:val="22"/>
        </w:rPr>
        <w:t>tepat</w:t>
      </w:r>
      <w:proofErr w:type="spellEnd"/>
      <w:r w:rsidRPr="00BC6D6A">
        <w:rPr>
          <w:rFonts w:cs="Times New Roman"/>
          <w:sz w:val="22"/>
          <w:szCs w:val="22"/>
        </w:rPr>
        <w:t xml:space="preserve">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paruh</w:t>
      </w:r>
      <w:proofErr w:type="spellEnd"/>
      <w:r w:rsidRPr="00BC6D6A">
        <w:rPr>
          <w:rFonts w:cs="Times New Roman"/>
          <w:sz w:val="22"/>
          <w:szCs w:val="22"/>
        </w:rPr>
        <w:t xml:space="preserve"> yang lama </w:t>
      </w:r>
      <w:proofErr w:type="spellStart"/>
      <w:r w:rsidRPr="00BC6D6A">
        <w:rPr>
          <w:rFonts w:cs="Times New Roman"/>
          <w:sz w:val="22"/>
          <w:szCs w:val="22"/>
        </w:rPr>
        <w:t>bisa</w:t>
      </w:r>
      <w:proofErr w:type="spellEnd"/>
      <w:r w:rsidRPr="00BC6D6A">
        <w:rPr>
          <w:rFonts w:cs="Times New Roman"/>
          <w:sz w:val="22"/>
          <w:szCs w:val="22"/>
        </w:rPr>
        <w:t xml:space="preserve"> </w:t>
      </w:r>
      <w:proofErr w:type="spellStart"/>
      <w:r w:rsidRPr="00BC6D6A">
        <w:rPr>
          <w:rFonts w:cs="Times New Roman"/>
          <w:sz w:val="22"/>
          <w:szCs w:val="22"/>
        </w:rPr>
        <w:t>mencegah</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selama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hingga</w:t>
      </w:r>
      <w:proofErr w:type="spellEnd"/>
      <w:r w:rsidRPr="00BC6D6A">
        <w:rPr>
          <w:rFonts w:cs="Times New Roman"/>
          <w:sz w:val="22"/>
          <w:szCs w:val="22"/>
        </w:rPr>
        <w:t xml:space="preserve"> </w:t>
      </w:r>
      <w:proofErr w:type="spellStart"/>
      <w:r w:rsidRPr="00BC6D6A">
        <w:rPr>
          <w:rFonts w:cs="Times New Roman"/>
          <w:sz w:val="22"/>
          <w:szCs w:val="22"/>
        </w:rPr>
        <w:t>selesai</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yang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terlalu</w:t>
      </w:r>
      <w:proofErr w:type="spellEnd"/>
      <w:r w:rsidRPr="00BC6D6A">
        <w:rPr>
          <w:rFonts w:cs="Times New Roman"/>
          <w:sz w:val="22"/>
          <w:szCs w:val="22"/>
        </w:rPr>
        <w:t xml:space="preserve"> </w:t>
      </w:r>
      <w:proofErr w:type="spellStart"/>
      <w:r w:rsidRPr="00BC6D6A">
        <w:rPr>
          <w:rFonts w:cs="Times New Roman"/>
          <w:sz w:val="22"/>
          <w:szCs w:val="22"/>
        </w:rPr>
        <w:t>dini</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satu</w:t>
      </w:r>
      <w:proofErr w:type="spellEnd"/>
      <w:r w:rsidRPr="00BC6D6A">
        <w:rPr>
          <w:rFonts w:cs="Times New Roman"/>
          <w:sz w:val="22"/>
          <w:szCs w:val="22"/>
        </w:rPr>
        <w:t xml:space="preserve"> jam </w:t>
      </w:r>
      <w:proofErr w:type="spellStart"/>
      <w:r w:rsidRPr="00BC6D6A">
        <w:rPr>
          <w:rFonts w:cs="Times New Roman"/>
          <w:sz w:val="22"/>
          <w:szCs w:val="22"/>
        </w:rPr>
        <w:t>sebelum</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dimulai</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akan</w:t>
      </w:r>
      <w:proofErr w:type="spellEnd"/>
      <w:r w:rsidRPr="00BC6D6A">
        <w:rPr>
          <w:rFonts w:cs="Times New Roman"/>
          <w:sz w:val="22"/>
          <w:szCs w:val="22"/>
        </w:rPr>
        <w:t xml:space="preserve"> </w:t>
      </w:r>
      <w:proofErr w:type="spellStart"/>
      <w:r w:rsidRPr="00BC6D6A">
        <w:rPr>
          <w:rFonts w:cs="Times New Roman"/>
          <w:sz w:val="22"/>
          <w:szCs w:val="22"/>
        </w:rPr>
        <w:t>memberikan</w:t>
      </w:r>
      <w:proofErr w:type="spellEnd"/>
      <w:r w:rsidRPr="00BC6D6A">
        <w:rPr>
          <w:rFonts w:cs="Times New Roman"/>
          <w:sz w:val="22"/>
          <w:szCs w:val="22"/>
        </w:rPr>
        <w:t xml:space="preserve"> </w:t>
      </w:r>
      <w:proofErr w:type="spellStart"/>
      <w:r w:rsidRPr="00BC6D6A">
        <w:rPr>
          <w:rFonts w:cs="Times New Roman"/>
          <w:sz w:val="22"/>
          <w:szCs w:val="22"/>
        </w:rPr>
        <w:t>perlindungan</w:t>
      </w:r>
      <w:proofErr w:type="spellEnd"/>
      <w:r w:rsidRPr="00BC6D6A">
        <w:rPr>
          <w:rFonts w:cs="Times New Roman"/>
          <w:sz w:val="22"/>
          <w:szCs w:val="22"/>
        </w:rPr>
        <w:t xml:space="preserve"> yang </w:t>
      </w:r>
      <w:proofErr w:type="spellStart"/>
      <w:r w:rsidRPr="00BC6D6A">
        <w:rPr>
          <w:rFonts w:cs="Times New Roman"/>
          <w:sz w:val="22"/>
          <w:szCs w:val="22"/>
        </w:rPr>
        <w:t>memadai</w:t>
      </w:r>
      <w:proofErr w:type="spellEnd"/>
      <w:r w:rsidRPr="00BC6D6A">
        <w:rPr>
          <w:rFonts w:cs="Times New Roman"/>
          <w:sz w:val="22"/>
          <w:szCs w:val="22"/>
        </w:rPr>
        <w:t xml:space="preserve"> </w:t>
      </w:r>
      <w:proofErr w:type="spellStart"/>
      <w:r w:rsidRPr="00BC6D6A">
        <w:rPr>
          <w:rFonts w:cs="Times New Roman"/>
          <w:sz w:val="22"/>
          <w:szCs w:val="22"/>
        </w:rPr>
        <w:t>bagi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penyebab</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selama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berlangsung</w:t>
      </w:r>
      <w:proofErr w:type="spellEnd"/>
      <w:r w:rsidRPr="00BC6D6A">
        <w:rPr>
          <w:rFonts w:cs="Times New Roman"/>
          <w:sz w:val="22"/>
          <w:szCs w:val="22"/>
        </w:rPr>
        <w:t xml:space="preserve"> </w:t>
      </w:r>
      <w:proofErr w:type="spellStart"/>
      <w:r w:rsidRPr="00BC6D6A">
        <w:rPr>
          <w:rFonts w:cs="Times New Roman"/>
          <w:sz w:val="22"/>
          <w:szCs w:val="22"/>
        </w:rPr>
        <w:t>hingga</w:t>
      </w:r>
      <w:proofErr w:type="spellEnd"/>
      <w:r w:rsidRPr="00BC6D6A">
        <w:rPr>
          <w:rFonts w:cs="Times New Roman"/>
          <w:sz w:val="22"/>
          <w:szCs w:val="22"/>
        </w:rPr>
        <w:t xml:space="preserve"> </w:t>
      </w:r>
      <w:proofErr w:type="spellStart"/>
      <w:r w:rsidRPr="00BC6D6A">
        <w:rPr>
          <w:rFonts w:cs="Times New Roman"/>
          <w:sz w:val="22"/>
          <w:szCs w:val="22"/>
        </w:rPr>
        <w:t>selesai</w:t>
      </w:r>
      <w:proofErr w:type="spellEnd"/>
      <w:r w:rsidRPr="00BC6D6A">
        <w:rPr>
          <w:rFonts w:cs="Times New Roman"/>
          <w:sz w:val="22"/>
          <w:szCs w:val="22"/>
        </w:rPr>
        <w:t xml:space="preserve"> (ASHP, 2013; Radji, 2016). </w:t>
      </w:r>
    </w:p>
    <w:p w14:paraId="5256FF04" w14:textId="77777777" w:rsidR="00B46EE3" w:rsidRPr="00BC6D6A" w:rsidRDefault="00000000">
      <w:pPr>
        <w:spacing w:line="360" w:lineRule="auto"/>
        <w:ind w:firstLine="720"/>
        <w:jc w:val="both"/>
        <w:rPr>
          <w:rFonts w:cs="Times New Roman"/>
          <w:sz w:val="22"/>
          <w:szCs w:val="22"/>
        </w:rPr>
      </w:pP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yang </w:t>
      </w:r>
      <w:proofErr w:type="spellStart"/>
      <w:r w:rsidRPr="00BC6D6A">
        <w:rPr>
          <w:rFonts w:cs="Times New Roman"/>
          <w:sz w:val="22"/>
          <w:szCs w:val="22"/>
        </w:rPr>
        <w:t>dilakukan</w:t>
      </w:r>
      <w:proofErr w:type="spellEnd"/>
      <w:r w:rsidRPr="00BC6D6A">
        <w:rPr>
          <w:rFonts w:cs="Times New Roman"/>
          <w:sz w:val="22"/>
          <w:szCs w:val="22"/>
        </w:rPr>
        <w:t xml:space="preserve"> oleh Amelia (2019) yang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mempunyai</w:t>
      </w:r>
      <w:proofErr w:type="spellEnd"/>
      <w:r w:rsidRPr="00BC6D6A">
        <w:rPr>
          <w:rFonts w:cs="Times New Roman"/>
          <w:sz w:val="22"/>
          <w:szCs w:val="22"/>
        </w:rPr>
        <w:t xml:space="preserve"> </w:t>
      </w:r>
      <w:proofErr w:type="spellStart"/>
      <w:r w:rsidRPr="00BC6D6A">
        <w:rPr>
          <w:rFonts w:cs="Times New Roman"/>
          <w:sz w:val="22"/>
          <w:szCs w:val="22"/>
        </w:rPr>
        <w:t>hubungan</w:t>
      </w:r>
      <w:proofErr w:type="spellEnd"/>
      <w:r w:rsidRPr="00BC6D6A">
        <w:rPr>
          <w:rFonts w:cs="Times New Roman"/>
          <w:sz w:val="22"/>
          <w:szCs w:val="22"/>
        </w:rPr>
        <w:t xml:space="preserve"> </w:t>
      </w:r>
      <w:proofErr w:type="spellStart"/>
      <w:r w:rsidRPr="00BC6D6A">
        <w:rPr>
          <w:rFonts w:cs="Times New Roman"/>
          <w:sz w:val="22"/>
          <w:szCs w:val="22"/>
        </w:rPr>
        <w:t>bermakna</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angka</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(ILO) (p&lt;0,05)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(Amelia &amp; Komar, 2019). </w:t>
      </w:r>
      <w:proofErr w:type="spellStart"/>
      <w:r w:rsidRPr="00BC6D6A">
        <w:rPr>
          <w:rFonts w:cs="Times New Roman"/>
          <w:sz w:val="22"/>
          <w:szCs w:val="22"/>
        </w:rPr>
        <w:t>Sehingga</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sangat </w:t>
      </w:r>
      <w:proofErr w:type="spellStart"/>
      <w:r w:rsidRPr="00BC6D6A">
        <w:rPr>
          <w:rFonts w:cs="Times New Roman"/>
          <w:sz w:val="22"/>
          <w:szCs w:val="22"/>
        </w:rPr>
        <w:t>berpengaruh</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mencegah</w:t>
      </w:r>
      <w:proofErr w:type="spellEnd"/>
      <w:r w:rsidRPr="00BC6D6A">
        <w:rPr>
          <w:rFonts w:cs="Times New Roman"/>
          <w:sz w:val="22"/>
          <w:szCs w:val="22"/>
        </w:rPr>
        <w:t xml:space="preserve"> </w:t>
      </w:r>
      <w:proofErr w:type="spellStart"/>
      <w:r w:rsidRPr="00BC6D6A">
        <w:rPr>
          <w:rFonts w:cs="Times New Roman"/>
          <w:sz w:val="22"/>
          <w:szCs w:val="22"/>
        </w:rPr>
        <w:t>terjadinya</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pada </w:t>
      </w:r>
      <w:proofErr w:type="spellStart"/>
      <w:r w:rsidRPr="00BC6D6A">
        <w:rPr>
          <w:rFonts w:cs="Times New Roman"/>
          <w:sz w:val="22"/>
          <w:szCs w:val="22"/>
        </w:rPr>
        <w:t>luka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
    <w:p w14:paraId="6E82123E" w14:textId="7461E05C" w:rsidR="00B46EE3" w:rsidRPr="00BC6D6A" w:rsidRDefault="00000000">
      <w:pPr>
        <w:spacing w:line="360" w:lineRule="auto"/>
        <w:ind w:firstLine="720"/>
        <w:jc w:val="both"/>
        <w:rPr>
          <w:rFonts w:cs="Times New Roman"/>
          <w:sz w:val="22"/>
          <w:szCs w:val="22"/>
        </w:rPr>
      </w:pPr>
      <w:proofErr w:type="spellStart"/>
      <w:r w:rsidRPr="00BC6D6A">
        <w:rPr>
          <w:rFonts w:cs="Times New Roman"/>
          <w:sz w:val="22"/>
          <w:szCs w:val="22"/>
        </w:rPr>
        <w:t>Pemberian</w:t>
      </w:r>
      <w:proofErr w:type="spellEnd"/>
      <w:r w:rsidRPr="00BC6D6A">
        <w:rPr>
          <w:rFonts w:cs="Times New Roman"/>
          <w:sz w:val="22"/>
          <w:szCs w:val="22"/>
        </w:rPr>
        <w:t xml:space="preserve"> ceftriaxone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dewasa</w:t>
      </w:r>
      <w:proofErr w:type="spellEnd"/>
      <w:r w:rsidRPr="00BC6D6A">
        <w:rPr>
          <w:rFonts w:cs="Times New Roman"/>
          <w:sz w:val="22"/>
          <w:szCs w:val="22"/>
        </w:rPr>
        <w:t xml:space="preserve"> dan </w:t>
      </w:r>
      <w:proofErr w:type="spellStart"/>
      <w:r w:rsidRPr="00BC6D6A">
        <w:rPr>
          <w:rFonts w:cs="Times New Roman"/>
          <w:sz w:val="22"/>
          <w:szCs w:val="22"/>
        </w:rPr>
        <w:t>anak-anak</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mendapat</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ceftriaxone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1 </w:t>
      </w:r>
      <w:proofErr w:type="spellStart"/>
      <w:r w:rsidRPr="00BC6D6A">
        <w:rPr>
          <w:rFonts w:cs="Times New Roman"/>
          <w:sz w:val="22"/>
          <w:szCs w:val="22"/>
        </w:rPr>
        <w:t>hingga</w:t>
      </w:r>
      <w:proofErr w:type="spellEnd"/>
      <w:r w:rsidRPr="00BC6D6A">
        <w:rPr>
          <w:rFonts w:cs="Times New Roman"/>
          <w:sz w:val="22"/>
          <w:szCs w:val="22"/>
        </w:rPr>
        <w:t xml:space="preserve"> 2 gram, </w:t>
      </w:r>
      <w:proofErr w:type="spellStart"/>
      <w:r w:rsidRPr="00BC6D6A">
        <w:rPr>
          <w:rFonts w:cs="Times New Roman"/>
          <w:sz w:val="22"/>
          <w:szCs w:val="22"/>
        </w:rPr>
        <w:t>sedangkan</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yang </w:t>
      </w:r>
      <w:proofErr w:type="spellStart"/>
      <w:r w:rsidRPr="00BC6D6A">
        <w:rPr>
          <w:rFonts w:cs="Times New Roman"/>
          <w:sz w:val="22"/>
          <w:szCs w:val="22"/>
        </w:rPr>
        <w:t>berusia</w:t>
      </w:r>
      <w:proofErr w:type="spellEnd"/>
      <w:r w:rsidRPr="00BC6D6A">
        <w:rPr>
          <w:rFonts w:cs="Times New Roman"/>
          <w:sz w:val="22"/>
          <w:szCs w:val="22"/>
        </w:rPr>
        <w:t xml:space="preserve"> di </w:t>
      </w:r>
      <w:proofErr w:type="spellStart"/>
      <w:r w:rsidRPr="00BC6D6A">
        <w:rPr>
          <w:rFonts w:cs="Times New Roman"/>
          <w:sz w:val="22"/>
          <w:szCs w:val="22"/>
        </w:rPr>
        <w:t>bawah</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mendapat</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ceftriaxone </w:t>
      </w:r>
      <w:proofErr w:type="spellStart"/>
      <w:r w:rsidRPr="00BC6D6A">
        <w:rPr>
          <w:rFonts w:cs="Times New Roman"/>
          <w:sz w:val="22"/>
          <w:szCs w:val="22"/>
        </w:rPr>
        <w:t>sebesar</w:t>
      </w:r>
      <w:proofErr w:type="spellEnd"/>
      <w:r w:rsidRPr="00BC6D6A">
        <w:rPr>
          <w:rFonts w:cs="Times New Roman"/>
          <w:sz w:val="22"/>
          <w:szCs w:val="22"/>
        </w:rPr>
        <w:t xml:space="preserve"> 1 gram. </w:t>
      </w:r>
      <w:proofErr w:type="spellStart"/>
      <w:r w:rsidRPr="00BC6D6A">
        <w:rPr>
          <w:rFonts w:cs="Times New Roman"/>
          <w:sz w:val="22"/>
          <w:szCs w:val="22"/>
        </w:rPr>
        <w:t>Rekomendasi</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r w:rsidRPr="00BC6D6A">
        <w:rPr>
          <w:rFonts w:cs="Times New Roman"/>
          <w:i/>
          <w:sz w:val="22"/>
          <w:szCs w:val="22"/>
        </w:rPr>
        <w:t xml:space="preserve">ASHP Therapeutic </w:t>
      </w:r>
      <w:proofErr w:type="gramStart"/>
      <w:r w:rsidRPr="00BC6D6A">
        <w:rPr>
          <w:rFonts w:cs="Times New Roman"/>
          <w:i/>
          <w:sz w:val="22"/>
          <w:szCs w:val="22"/>
        </w:rPr>
        <w:t>Guidelines</w:t>
      </w:r>
      <w:r w:rsidR="00E255CE">
        <w:rPr>
          <w:rFonts w:cs="Times New Roman"/>
          <w:i/>
          <w:sz w:val="22"/>
          <w:szCs w:val="22"/>
        </w:rPr>
        <w:t xml:space="preserve"> </w:t>
      </w:r>
      <w:r w:rsidRPr="00BC6D6A">
        <w:rPr>
          <w:rFonts w:cs="Times New Roman"/>
          <w:i/>
          <w:sz w:val="22"/>
          <w:szCs w:val="22"/>
        </w:rPr>
        <w:t>:</w:t>
      </w:r>
      <w:proofErr w:type="gramEnd"/>
      <w:r w:rsidRPr="00BC6D6A">
        <w:rPr>
          <w:rFonts w:cs="Times New Roman"/>
          <w:i/>
          <w:sz w:val="22"/>
          <w:szCs w:val="22"/>
        </w:rPr>
        <w:t xml:space="preserve"> Clinical Practise Guidelines for Antimicrobial Prophylaxis </w:t>
      </w:r>
      <w:proofErr w:type="spellStart"/>
      <w:r w:rsidRPr="00BC6D6A">
        <w:rPr>
          <w:rFonts w:cs="Times New Roman"/>
          <w:i/>
          <w:sz w:val="22"/>
          <w:szCs w:val="22"/>
        </w:rPr>
        <w:t>ini</w:t>
      </w:r>
      <w:proofErr w:type="spellEnd"/>
      <w:r w:rsidRPr="00BC6D6A">
        <w:rPr>
          <w:rFonts w:cs="Times New Roman"/>
          <w:i/>
          <w:sz w:val="22"/>
          <w:szCs w:val="22"/>
        </w:rPr>
        <w:t xml:space="preserve"> Surgery</w:t>
      </w:r>
      <w:r w:rsidR="00E255CE">
        <w:rPr>
          <w:rFonts w:cs="Times New Roman"/>
          <w:i/>
          <w:sz w:val="22"/>
          <w:szCs w:val="22"/>
        </w:rPr>
        <w:t xml:space="preserve"> </w:t>
      </w:r>
      <w:r w:rsidRPr="00BC6D6A">
        <w:rPr>
          <w:rFonts w:cs="Times New Roman"/>
          <w:sz w:val="22"/>
          <w:szCs w:val="22"/>
        </w:rPr>
        <w:t>(ASHP, 2013)</w:t>
      </w:r>
      <w:r w:rsidRPr="00BC6D6A">
        <w:rPr>
          <w:rFonts w:cs="Times New Roman"/>
          <w:i/>
          <w:sz w:val="22"/>
          <w:szCs w:val="22"/>
        </w:rPr>
        <w:t>, Infectious Disease Society of America</w:t>
      </w:r>
      <w:r w:rsidRPr="00BC6D6A">
        <w:rPr>
          <w:rFonts w:cs="Times New Roman"/>
          <w:sz w:val="22"/>
          <w:szCs w:val="22"/>
        </w:rPr>
        <w:t xml:space="preserve"> (IDSA) </w:t>
      </w:r>
      <w:r w:rsidRPr="00BC6D6A">
        <w:rPr>
          <w:rFonts w:cs="Times New Roman"/>
          <w:i/>
          <w:sz w:val="22"/>
          <w:szCs w:val="22"/>
        </w:rPr>
        <w:t xml:space="preserve">Guidelines </w:t>
      </w:r>
      <w:r w:rsidRPr="00BC6D6A">
        <w:rPr>
          <w:rFonts w:cs="Times New Roman"/>
          <w:sz w:val="22"/>
          <w:szCs w:val="22"/>
        </w:rPr>
        <w:t>(</w:t>
      </w:r>
      <w:proofErr w:type="spellStart"/>
      <w:r w:rsidRPr="00BC6D6A">
        <w:rPr>
          <w:rFonts w:cs="Times New Roman"/>
          <w:sz w:val="22"/>
          <w:szCs w:val="22"/>
        </w:rPr>
        <w:t>Bratzler</w:t>
      </w:r>
      <w:proofErr w:type="spellEnd"/>
      <w:r w:rsidRPr="00BC6D6A">
        <w:rPr>
          <w:rFonts w:cs="Times New Roman"/>
          <w:sz w:val="22"/>
          <w:szCs w:val="22"/>
        </w:rPr>
        <w:t xml:space="preserve"> et al., 2013)</w:t>
      </w:r>
      <w:r w:rsidRPr="00BC6D6A">
        <w:rPr>
          <w:rFonts w:cs="Times New Roman"/>
          <w:i/>
          <w:sz w:val="22"/>
          <w:szCs w:val="22"/>
        </w:rPr>
        <w:t xml:space="preserve"> </w:t>
      </w:r>
      <w:r w:rsidRPr="00BC6D6A">
        <w:rPr>
          <w:rFonts w:cs="Times New Roman"/>
          <w:sz w:val="22"/>
          <w:szCs w:val="22"/>
        </w:rPr>
        <w:t xml:space="preserve">dan </w:t>
      </w:r>
      <w:proofErr w:type="spellStart"/>
      <w:r w:rsidRPr="00BC6D6A">
        <w:rPr>
          <w:rFonts w:cs="Times New Roman"/>
          <w:sz w:val="22"/>
          <w:szCs w:val="22"/>
        </w:rPr>
        <w:t>Permenkes</w:t>
      </w:r>
      <w:proofErr w:type="spellEnd"/>
      <w:r w:rsidRPr="00BC6D6A">
        <w:rPr>
          <w:rFonts w:cs="Times New Roman"/>
          <w:sz w:val="22"/>
          <w:szCs w:val="22"/>
        </w:rPr>
        <w:t xml:space="preserve"> No. 28 </w:t>
      </w:r>
      <w:proofErr w:type="spellStart"/>
      <w:r w:rsidRPr="00BC6D6A">
        <w:rPr>
          <w:rFonts w:cs="Times New Roman"/>
          <w:sz w:val="22"/>
          <w:szCs w:val="22"/>
        </w:rPr>
        <w:t>Tahun</w:t>
      </w:r>
      <w:proofErr w:type="spellEnd"/>
      <w:r w:rsidRPr="00BC6D6A">
        <w:rPr>
          <w:rFonts w:cs="Times New Roman"/>
          <w:sz w:val="22"/>
          <w:szCs w:val="22"/>
        </w:rPr>
        <w:t xml:space="preserve"> 2021 </w:t>
      </w:r>
      <w:proofErr w:type="spellStart"/>
      <w:r w:rsidRPr="00BC6D6A">
        <w:rPr>
          <w:rFonts w:cs="Times New Roman"/>
          <w:sz w:val="22"/>
          <w:szCs w:val="22"/>
        </w:rPr>
        <w:t>tentang</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Kemenkes</w:t>
      </w:r>
      <w:proofErr w:type="spellEnd"/>
      <w:r w:rsidRPr="00BC6D6A">
        <w:rPr>
          <w:rFonts w:cs="Times New Roman"/>
          <w:sz w:val="22"/>
          <w:szCs w:val="22"/>
        </w:rPr>
        <w:t xml:space="preserve"> RI, 2021). Yang </w:t>
      </w:r>
      <w:proofErr w:type="spellStart"/>
      <w:r w:rsidRPr="00BC6D6A">
        <w:rPr>
          <w:rFonts w:cs="Times New Roman"/>
          <w:sz w:val="22"/>
          <w:szCs w:val="22"/>
        </w:rPr>
        <w:t>merekomendasikan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golongan</w:t>
      </w:r>
      <w:proofErr w:type="spellEnd"/>
      <w:r w:rsidRPr="00BC6D6A">
        <w:rPr>
          <w:rFonts w:cs="Times New Roman"/>
          <w:sz w:val="22"/>
          <w:szCs w:val="22"/>
        </w:rPr>
        <w:t xml:space="preserve"> </w:t>
      </w:r>
      <w:proofErr w:type="spellStart"/>
      <w:r w:rsidRPr="00BC6D6A">
        <w:rPr>
          <w:rFonts w:cs="Times New Roman"/>
          <w:sz w:val="22"/>
          <w:szCs w:val="22"/>
        </w:rPr>
        <w:t>sefalosporin</w:t>
      </w:r>
      <w:proofErr w:type="spellEnd"/>
      <w:r w:rsidRPr="00BC6D6A">
        <w:rPr>
          <w:rFonts w:cs="Times New Roman"/>
          <w:sz w:val="22"/>
          <w:szCs w:val="22"/>
        </w:rPr>
        <w:t xml:space="preserve">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dewasa</w:t>
      </w:r>
      <w:proofErr w:type="spellEnd"/>
      <w:r w:rsidRPr="00BC6D6A">
        <w:rPr>
          <w:rFonts w:cs="Times New Roman"/>
          <w:sz w:val="22"/>
          <w:szCs w:val="22"/>
        </w:rPr>
        <w:t xml:space="preserve"> dan </w:t>
      </w:r>
      <w:proofErr w:type="spellStart"/>
      <w:r w:rsidRPr="00BC6D6A">
        <w:rPr>
          <w:rFonts w:cs="Times New Roman"/>
          <w:sz w:val="22"/>
          <w:szCs w:val="22"/>
        </w:rPr>
        <w:t>anak-anak</w:t>
      </w:r>
      <w:proofErr w:type="spellEnd"/>
      <w:r w:rsidRPr="00BC6D6A">
        <w:rPr>
          <w:rFonts w:cs="Times New Roman"/>
          <w:sz w:val="22"/>
          <w:szCs w:val="22"/>
        </w:rPr>
        <w:t xml:space="preserve"> yang </w:t>
      </w:r>
      <w:proofErr w:type="spellStart"/>
      <w:r w:rsidRPr="00BC6D6A">
        <w:rPr>
          <w:rFonts w:cs="Times New Roman"/>
          <w:sz w:val="22"/>
          <w:szCs w:val="22"/>
        </w:rPr>
        <w:t>berusia</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berat</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50 kg </w:t>
      </w:r>
      <w:proofErr w:type="spellStart"/>
      <w:r w:rsidRPr="00BC6D6A">
        <w:rPr>
          <w:rFonts w:cs="Times New Roman"/>
          <w:sz w:val="22"/>
          <w:szCs w:val="22"/>
        </w:rPr>
        <w:t>adalah</w:t>
      </w:r>
      <w:proofErr w:type="spellEnd"/>
      <w:r w:rsidRPr="00BC6D6A">
        <w:rPr>
          <w:rFonts w:cs="Times New Roman"/>
          <w:sz w:val="22"/>
          <w:szCs w:val="22"/>
        </w:rPr>
        <w:t xml:space="preserve"> 1 </w:t>
      </w:r>
      <w:proofErr w:type="spellStart"/>
      <w:r w:rsidRPr="00BC6D6A">
        <w:rPr>
          <w:rFonts w:cs="Times New Roman"/>
          <w:sz w:val="22"/>
          <w:szCs w:val="22"/>
        </w:rPr>
        <w:t>hingga</w:t>
      </w:r>
      <w:proofErr w:type="spellEnd"/>
      <w:r w:rsidRPr="00BC6D6A">
        <w:rPr>
          <w:rFonts w:cs="Times New Roman"/>
          <w:sz w:val="22"/>
          <w:szCs w:val="22"/>
        </w:rPr>
        <w:t xml:space="preserve"> 2 gram. </w:t>
      </w:r>
      <w:proofErr w:type="spellStart"/>
      <w:r w:rsidRPr="00BC6D6A">
        <w:rPr>
          <w:rFonts w:cs="Times New Roman"/>
          <w:sz w:val="22"/>
          <w:szCs w:val="22"/>
        </w:rPr>
        <w:t>Sedangkan</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yang </w:t>
      </w:r>
      <w:proofErr w:type="spellStart"/>
      <w:r w:rsidRPr="00BC6D6A">
        <w:rPr>
          <w:rFonts w:cs="Times New Roman"/>
          <w:sz w:val="22"/>
          <w:szCs w:val="22"/>
        </w:rPr>
        <w:t>kurang</w:t>
      </w:r>
      <w:proofErr w:type="spellEnd"/>
      <w:r w:rsidRPr="00BC6D6A">
        <w:rPr>
          <w:rFonts w:cs="Times New Roman"/>
          <w:sz w:val="22"/>
          <w:szCs w:val="22"/>
        </w:rPr>
        <w:t xml:space="preserve"> </w:t>
      </w:r>
      <w:proofErr w:type="spellStart"/>
      <w:r w:rsidRPr="00BC6D6A">
        <w:rPr>
          <w:rFonts w:cs="Times New Roman"/>
          <w:sz w:val="22"/>
          <w:szCs w:val="22"/>
        </w:rPr>
        <w:t>berusia</w:t>
      </w:r>
      <w:proofErr w:type="spellEnd"/>
      <w:r w:rsidRPr="00BC6D6A">
        <w:rPr>
          <w:rFonts w:cs="Times New Roman"/>
          <w:sz w:val="22"/>
          <w:szCs w:val="22"/>
        </w:rPr>
        <w:t xml:space="preserve"> </w:t>
      </w:r>
      <w:proofErr w:type="spellStart"/>
      <w:r w:rsidRPr="00BC6D6A">
        <w:rPr>
          <w:rFonts w:cs="Times New Roman"/>
          <w:sz w:val="22"/>
          <w:szCs w:val="22"/>
        </w:rPr>
        <w:t>kurang</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ceftriaxone </w:t>
      </w:r>
      <w:proofErr w:type="spellStart"/>
      <w:r w:rsidRPr="00BC6D6A">
        <w:rPr>
          <w:rFonts w:cs="Times New Roman"/>
          <w:sz w:val="22"/>
          <w:szCs w:val="22"/>
        </w:rPr>
        <w:t>diberikan</w:t>
      </w:r>
      <w:proofErr w:type="spellEnd"/>
      <w:r w:rsidRPr="00BC6D6A">
        <w:rPr>
          <w:rFonts w:cs="Times New Roman"/>
          <w:sz w:val="22"/>
          <w:szCs w:val="22"/>
        </w:rPr>
        <w:t xml:space="preserve"> 50-75mg/BB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maksimal</w:t>
      </w:r>
      <w:proofErr w:type="spellEnd"/>
      <w:r w:rsidRPr="00BC6D6A">
        <w:rPr>
          <w:rFonts w:cs="Times New Roman"/>
          <w:sz w:val="22"/>
          <w:szCs w:val="22"/>
        </w:rPr>
        <w:t xml:space="preserve"> 2 gram/</w:t>
      </w:r>
      <w:proofErr w:type="spellStart"/>
      <w:r w:rsidRPr="00BC6D6A">
        <w:rPr>
          <w:rFonts w:cs="Times New Roman"/>
          <w:sz w:val="22"/>
          <w:szCs w:val="22"/>
        </w:rPr>
        <w:t>hari</w:t>
      </w:r>
      <w:proofErr w:type="spellEnd"/>
      <w:r w:rsidRPr="00BC6D6A">
        <w:rPr>
          <w:rFonts w:cs="Times New Roman"/>
          <w:sz w:val="22"/>
          <w:szCs w:val="22"/>
        </w:rPr>
        <w:t xml:space="preserve">. </w:t>
      </w:r>
    </w:p>
    <w:p w14:paraId="0F02D3E8" w14:textId="0491BE18" w:rsidR="00B46EE3" w:rsidRPr="00BC6D6A" w:rsidRDefault="00000000">
      <w:pPr>
        <w:spacing w:line="360" w:lineRule="auto"/>
        <w:ind w:firstLine="720"/>
        <w:jc w:val="both"/>
        <w:rPr>
          <w:rFonts w:cs="Times New Roman"/>
          <w:sz w:val="22"/>
          <w:szCs w:val="22"/>
        </w:rPr>
      </w:pPr>
      <w:proofErr w:type="spellStart"/>
      <w:r w:rsidRPr="00BC6D6A">
        <w:rPr>
          <w:rFonts w:cs="Times New Roman"/>
          <w:sz w:val="22"/>
          <w:szCs w:val="22"/>
        </w:rPr>
        <w:t>Sedangkan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ciprofloxacin </w:t>
      </w:r>
      <w:proofErr w:type="spellStart"/>
      <w:r w:rsidRPr="00BC6D6A">
        <w:rPr>
          <w:rFonts w:cs="Times New Roman"/>
          <w:sz w:val="22"/>
          <w:szCs w:val="22"/>
        </w:rPr>
        <w:t>diberikan</w:t>
      </w:r>
      <w:proofErr w:type="spellEnd"/>
      <w:r w:rsidRPr="00BC6D6A">
        <w:rPr>
          <w:rFonts w:cs="Times New Roman"/>
          <w:sz w:val="22"/>
          <w:szCs w:val="22"/>
        </w:rPr>
        <w:t xml:space="preserve"> 2 x 500 mg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dewasa</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r w:rsidRPr="00BC6D6A">
        <w:rPr>
          <w:rFonts w:cs="Times New Roman"/>
          <w:i/>
          <w:sz w:val="22"/>
          <w:szCs w:val="22"/>
        </w:rPr>
        <w:t>Infectious Disease Society of America</w:t>
      </w:r>
      <w:r w:rsidRPr="00BC6D6A">
        <w:rPr>
          <w:rFonts w:cs="Times New Roman"/>
          <w:sz w:val="22"/>
          <w:szCs w:val="22"/>
        </w:rPr>
        <w:t xml:space="preserve"> (IDSA) </w:t>
      </w:r>
      <w:r w:rsidRPr="00BC6D6A">
        <w:rPr>
          <w:rFonts w:cs="Times New Roman"/>
          <w:i/>
          <w:sz w:val="22"/>
          <w:szCs w:val="22"/>
        </w:rPr>
        <w:t xml:space="preserve">Guidelines </w:t>
      </w:r>
      <w:r w:rsidRPr="00BC6D6A">
        <w:rPr>
          <w:rFonts w:cs="Times New Roman"/>
          <w:sz w:val="22"/>
          <w:szCs w:val="22"/>
        </w:rPr>
        <w:t>(</w:t>
      </w:r>
      <w:proofErr w:type="spellStart"/>
      <w:r w:rsidRPr="00BC6D6A">
        <w:rPr>
          <w:rFonts w:cs="Times New Roman"/>
          <w:sz w:val="22"/>
          <w:szCs w:val="22"/>
        </w:rPr>
        <w:t>Bratzler</w:t>
      </w:r>
      <w:proofErr w:type="spellEnd"/>
      <w:r w:rsidRPr="00BC6D6A">
        <w:rPr>
          <w:rFonts w:cs="Times New Roman"/>
          <w:sz w:val="22"/>
          <w:szCs w:val="22"/>
        </w:rPr>
        <w:t xml:space="preserve"> et al., 2013)</w:t>
      </w:r>
      <w:r w:rsidRPr="00BC6D6A">
        <w:rPr>
          <w:rFonts w:cs="Times New Roman"/>
          <w:i/>
          <w:sz w:val="22"/>
          <w:szCs w:val="22"/>
        </w:rPr>
        <w:t xml:space="preserve">, ASHP Therapeutic </w:t>
      </w:r>
      <w:proofErr w:type="gramStart"/>
      <w:r w:rsidRPr="00BC6D6A">
        <w:rPr>
          <w:rFonts w:cs="Times New Roman"/>
          <w:i/>
          <w:sz w:val="22"/>
          <w:szCs w:val="22"/>
        </w:rPr>
        <w:t>Guidelines</w:t>
      </w:r>
      <w:r w:rsidR="00E255CE">
        <w:rPr>
          <w:rFonts w:cs="Times New Roman"/>
          <w:i/>
          <w:sz w:val="22"/>
          <w:szCs w:val="22"/>
        </w:rPr>
        <w:t xml:space="preserve"> </w:t>
      </w:r>
      <w:r w:rsidRPr="00BC6D6A">
        <w:rPr>
          <w:rFonts w:cs="Times New Roman"/>
          <w:i/>
          <w:sz w:val="22"/>
          <w:szCs w:val="22"/>
        </w:rPr>
        <w:t>:</w:t>
      </w:r>
      <w:proofErr w:type="gramEnd"/>
      <w:r w:rsidRPr="00BC6D6A">
        <w:rPr>
          <w:rFonts w:cs="Times New Roman"/>
          <w:i/>
          <w:sz w:val="22"/>
          <w:szCs w:val="22"/>
        </w:rPr>
        <w:t xml:space="preserve"> Clinical Practise Guidelines for Antimicrobial Prophylaxis </w:t>
      </w:r>
      <w:proofErr w:type="spellStart"/>
      <w:r w:rsidRPr="00BC6D6A">
        <w:rPr>
          <w:rFonts w:cs="Times New Roman"/>
          <w:i/>
          <w:sz w:val="22"/>
          <w:szCs w:val="22"/>
        </w:rPr>
        <w:t>ini</w:t>
      </w:r>
      <w:proofErr w:type="spellEnd"/>
      <w:r w:rsidRPr="00BC6D6A">
        <w:rPr>
          <w:rFonts w:cs="Times New Roman"/>
          <w:i/>
          <w:sz w:val="22"/>
          <w:szCs w:val="22"/>
        </w:rPr>
        <w:t xml:space="preserve"> Surgery </w:t>
      </w:r>
      <w:r w:rsidRPr="00BC6D6A">
        <w:rPr>
          <w:rFonts w:cs="Times New Roman"/>
          <w:sz w:val="22"/>
          <w:szCs w:val="22"/>
        </w:rPr>
        <w:t>(ASHP, 2013)</w:t>
      </w:r>
      <w:r w:rsidRPr="00BC6D6A">
        <w:rPr>
          <w:rFonts w:cs="Times New Roman"/>
          <w:i/>
          <w:sz w:val="22"/>
          <w:szCs w:val="22"/>
        </w:rPr>
        <w:t xml:space="preserve">. </w:t>
      </w:r>
      <w:r w:rsidRPr="00BC6D6A">
        <w:rPr>
          <w:rFonts w:cs="Times New Roman"/>
          <w:sz w:val="22"/>
          <w:szCs w:val="22"/>
        </w:rPr>
        <w:t xml:space="preserve">Yang </w:t>
      </w:r>
      <w:proofErr w:type="spellStart"/>
      <w:r w:rsidRPr="00BC6D6A">
        <w:rPr>
          <w:rFonts w:cs="Times New Roman"/>
          <w:sz w:val="22"/>
          <w:szCs w:val="22"/>
        </w:rPr>
        <w:t>merekomendasikan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pada </w:t>
      </w:r>
      <w:proofErr w:type="spellStart"/>
      <w:r w:rsidRPr="00BC6D6A">
        <w:rPr>
          <w:rFonts w:cs="Times New Roman"/>
          <w:sz w:val="22"/>
          <w:szCs w:val="22"/>
        </w:rPr>
        <w:t>dewasa</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400 mg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tunggal</w:t>
      </w:r>
      <w:proofErr w:type="spellEnd"/>
      <w:r w:rsidRPr="00BC6D6A">
        <w:rPr>
          <w:rFonts w:cs="Times New Roman"/>
          <w:sz w:val="22"/>
          <w:szCs w:val="22"/>
        </w:rPr>
        <w:t xml:space="preserve"> dan </w:t>
      </w:r>
      <w:proofErr w:type="spellStart"/>
      <w:r w:rsidRPr="00BC6D6A">
        <w:rPr>
          <w:rFonts w:cs="Times New Roman"/>
          <w:sz w:val="22"/>
          <w:szCs w:val="22"/>
        </w:rPr>
        <w:t>anak-anak</w:t>
      </w:r>
      <w:proofErr w:type="spellEnd"/>
      <w:r w:rsidRPr="00BC6D6A">
        <w:rPr>
          <w:rFonts w:cs="Times New Roman"/>
          <w:sz w:val="22"/>
          <w:szCs w:val="22"/>
        </w:rPr>
        <w:t xml:space="preserve"> yang </w:t>
      </w:r>
      <w:proofErr w:type="spellStart"/>
      <w:r w:rsidRPr="00BC6D6A">
        <w:rPr>
          <w:rFonts w:cs="Times New Roman"/>
          <w:sz w:val="22"/>
          <w:szCs w:val="22"/>
        </w:rPr>
        <w:t>berusia</w:t>
      </w:r>
      <w:proofErr w:type="spellEnd"/>
      <w:r w:rsidRPr="00BC6D6A">
        <w:rPr>
          <w:rFonts w:cs="Times New Roman"/>
          <w:sz w:val="22"/>
          <w:szCs w:val="22"/>
        </w:rPr>
        <w:t xml:space="preserve"> </w:t>
      </w:r>
      <w:proofErr w:type="spellStart"/>
      <w:r w:rsidRPr="00BC6D6A">
        <w:rPr>
          <w:rFonts w:cs="Times New Roman"/>
          <w:sz w:val="22"/>
          <w:szCs w:val="22"/>
        </w:rPr>
        <w:t>kurang</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00E255CE">
        <w:rPr>
          <w:rFonts w:cs="Times New Roman"/>
          <w:sz w:val="22"/>
          <w:szCs w:val="22"/>
        </w:rPr>
        <w:t xml:space="preserve">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10 mg/kg.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informasi</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w:t>
      </w:r>
      <w:r w:rsidRPr="00BC6D6A">
        <w:rPr>
          <w:rFonts w:cs="Times New Roman"/>
          <w:i/>
          <w:sz w:val="22"/>
          <w:szCs w:val="22"/>
        </w:rPr>
        <w:t xml:space="preserve">The Monthly Index of Medical Specialities </w:t>
      </w:r>
      <w:r w:rsidRPr="00BC6D6A">
        <w:rPr>
          <w:rFonts w:cs="Times New Roman"/>
          <w:sz w:val="22"/>
          <w:szCs w:val="22"/>
        </w:rPr>
        <w:t xml:space="preserve">(MIMS),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sediaan</w:t>
      </w:r>
      <w:proofErr w:type="spellEnd"/>
      <w:r w:rsidRPr="00BC6D6A">
        <w:rPr>
          <w:rFonts w:cs="Times New Roman"/>
          <w:sz w:val="22"/>
          <w:szCs w:val="22"/>
        </w:rPr>
        <w:t xml:space="preserve"> </w:t>
      </w:r>
      <w:proofErr w:type="spellStart"/>
      <w:r w:rsidRPr="00BC6D6A">
        <w:rPr>
          <w:rFonts w:cs="Times New Roman"/>
          <w:sz w:val="22"/>
          <w:szCs w:val="22"/>
        </w:rPr>
        <w:t>injeksi</w:t>
      </w:r>
      <w:proofErr w:type="spellEnd"/>
      <w:r w:rsidRPr="00BC6D6A">
        <w:rPr>
          <w:rFonts w:cs="Times New Roman"/>
          <w:sz w:val="22"/>
          <w:szCs w:val="22"/>
        </w:rPr>
        <w:t xml:space="preserve">, ciprofloxacin </w:t>
      </w:r>
      <w:proofErr w:type="spellStart"/>
      <w:r w:rsidRPr="00BC6D6A">
        <w:rPr>
          <w:rFonts w:cs="Times New Roman"/>
          <w:sz w:val="22"/>
          <w:szCs w:val="22"/>
        </w:rPr>
        <w:t>tersedia</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bentuk</w:t>
      </w:r>
      <w:proofErr w:type="spellEnd"/>
      <w:r w:rsidRPr="00BC6D6A">
        <w:rPr>
          <w:rFonts w:cs="Times New Roman"/>
          <w:sz w:val="22"/>
          <w:szCs w:val="22"/>
        </w:rPr>
        <w:t xml:space="preserve"> </w:t>
      </w:r>
      <w:proofErr w:type="spellStart"/>
      <w:r w:rsidRPr="00BC6D6A">
        <w:rPr>
          <w:rFonts w:cs="Times New Roman"/>
          <w:sz w:val="22"/>
          <w:szCs w:val="22"/>
        </w:rPr>
        <w:t>botol</w:t>
      </w:r>
      <w:proofErr w:type="spellEnd"/>
      <w:r w:rsidRPr="00BC6D6A">
        <w:rPr>
          <w:rFonts w:cs="Times New Roman"/>
          <w:sz w:val="22"/>
          <w:szCs w:val="22"/>
        </w:rPr>
        <w:t xml:space="preserve"> </w:t>
      </w:r>
      <w:proofErr w:type="spellStart"/>
      <w:r w:rsidRPr="00BC6D6A">
        <w:rPr>
          <w:rFonts w:cs="Times New Roman"/>
          <w:sz w:val="22"/>
          <w:szCs w:val="22"/>
        </w:rPr>
        <w:t>infus</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kekuatan</w:t>
      </w:r>
      <w:proofErr w:type="spellEnd"/>
      <w:r w:rsidRPr="00BC6D6A">
        <w:rPr>
          <w:rFonts w:cs="Times New Roman"/>
          <w:sz w:val="22"/>
          <w:szCs w:val="22"/>
        </w:rPr>
        <w:t xml:space="preserve"> 265 mg/100 ml, 254/100 ml dan 400 mg/200 ml. Oleh </w:t>
      </w:r>
      <w:proofErr w:type="spellStart"/>
      <w:r w:rsidRPr="00BC6D6A">
        <w:rPr>
          <w:rFonts w:cs="Times New Roman"/>
          <w:sz w:val="22"/>
          <w:szCs w:val="22"/>
        </w:rPr>
        <w:t>karena</w:t>
      </w:r>
      <w:proofErr w:type="spellEnd"/>
      <w:r w:rsidRPr="00BC6D6A">
        <w:rPr>
          <w:rFonts w:cs="Times New Roman"/>
          <w:sz w:val="22"/>
          <w:szCs w:val="22"/>
        </w:rPr>
        <w:t xml:space="preserve"> </w:t>
      </w:r>
      <w:proofErr w:type="spellStart"/>
      <w:r w:rsidRPr="00BC6D6A">
        <w:rPr>
          <w:rFonts w:cs="Times New Roman"/>
          <w:sz w:val="22"/>
          <w:szCs w:val="22"/>
        </w:rPr>
        <w:t>itu</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ada</w:t>
      </w:r>
      <w:proofErr w:type="spellEnd"/>
      <w:r w:rsidRPr="00BC6D6A">
        <w:rPr>
          <w:rFonts w:cs="Times New Roman"/>
          <w:sz w:val="22"/>
          <w:szCs w:val="22"/>
        </w:rPr>
        <w:t xml:space="preserve"> </w:t>
      </w:r>
      <w:proofErr w:type="spellStart"/>
      <w:r w:rsidRPr="00BC6D6A">
        <w:rPr>
          <w:rFonts w:cs="Times New Roman"/>
          <w:sz w:val="22"/>
          <w:szCs w:val="22"/>
        </w:rPr>
        <w:t>sediaan</w:t>
      </w:r>
      <w:proofErr w:type="spellEnd"/>
      <w:r w:rsidRPr="00BC6D6A">
        <w:rPr>
          <w:rFonts w:cs="Times New Roman"/>
          <w:sz w:val="22"/>
          <w:szCs w:val="22"/>
        </w:rPr>
        <w:t xml:space="preserve"> </w:t>
      </w:r>
      <w:proofErr w:type="spellStart"/>
      <w:r w:rsidRPr="00BC6D6A">
        <w:rPr>
          <w:rFonts w:cs="Times New Roman"/>
          <w:sz w:val="22"/>
          <w:szCs w:val="22"/>
        </w:rPr>
        <w:t>injeksi</w:t>
      </w:r>
      <w:proofErr w:type="spellEnd"/>
      <w:r w:rsidRPr="00BC6D6A">
        <w:rPr>
          <w:rFonts w:cs="Times New Roman"/>
          <w:sz w:val="22"/>
          <w:szCs w:val="22"/>
        </w:rPr>
        <w:t xml:space="preserve"> ciprofloxacin yang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intravena</w:t>
      </w:r>
      <w:proofErr w:type="spellEnd"/>
      <w:r w:rsidRPr="00BC6D6A">
        <w:rPr>
          <w:rFonts w:cs="Times New Roman"/>
          <w:sz w:val="22"/>
          <w:szCs w:val="22"/>
        </w:rPr>
        <w:t xml:space="preserve"> </w:t>
      </w:r>
      <w:proofErr w:type="spellStart"/>
      <w:r w:rsidRPr="00BC6D6A">
        <w:rPr>
          <w:rFonts w:cs="Times New Roman"/>
          <w:sz w:val="22"/>
          <w:szCs w:val="22"/>
        </w:rPr>
        <w:t>perlu</w:t>
      </w:r>
      <w:proofErr w:type="spellEnd"/>
      <w:r w:rsidRPr="00BC6D6A">
        <w:rPr>
          <w:rFonts w:cs="Times New Roman"/>
          <w:sz w:val="22"/>
          <w:szCs w:val="22"/>
        </w:rPr>
        <w:t xml:space="preserve"> </w:t>
      </w:r>
      <w:proofErr w:type="spellStart"/>
      <w:r w:rsidRPr="00BC6D6A">
        <w:rPr>
          <w:rFonts w:cs="Times New Roman"/>
          <w:sz w:val="22"/>
          <w:szCs w:val="22"/>
        </w:rPr>
        <w:t>dipertimbangkan</w:t>
      </w:r>
      <w:proofErr w:type="spellEnd"/>
      <w:r w:rsidRPr="00BC6D6A">
        <w:rPr>
          <w:rFonts w:cs="Times New Roman"/>
          <w:sz w:val="22"/>
          <w:szCs w:val="22"/>
        </w:rPr>
        <w:t xml:space="preserve">, </w:t>
      </w:r>
      <w:proofErr w:type="spellStart"/>
      <w:r w:rsidRPr="00BC6D6A">
        <w:rPr>
          <w:rFonts w:cs="Times New Roman"/>
          <w:sz w:val="22"/>
          <w:szCs w:val="22"/>
        </w:rPr>
        <w:t>seperti</w:t>
      </w:r>
      <w:proofErr w:type="spellEnd"/>
      <w:r w:rsidRPr="00BC6D6A">
        <w:rPr>
          <w:rFonts w:cs="Times New Roman"/>
          <w:sz w:val="22"/>
          <w:szCs w:val="22"/>
        </w:rPr>
        <w:t xml:space="preserve"> </w:t>
      </w:r>
      <w:proofErr w:type="spellStart"/>
      <w:r w:rsidRPr="00BC6D6A">
        <w:rPr>
          <w:rFonts w:cs="Times New Roman"/>
          <w:sz w:val="22"/>
          <w:szCs w:val="22"/>
        </w:rPr>
        <w:t>menggunakan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yang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kekuatan</w:t>
      </w:r>
      <w:proofErr w:type="spellEnd"/>
      <w:r w:rsidRPr="00BC6D6A">
        <w:rPr>
          <w:rFonts w:cs="Times New Roman"/>
          <w:sz w:val="22"/>
          <w:szCs w:val="22"/>
        </w:rPr>
        <w:t xml:space="preserve"> </w:t>
      </w:r>
      <w:proofErr w:type="spellStart"/>
      <w:r w:rsidRPr="00BC6D6A">
        <w:rPr>
          <w:rFonts w:cs="Times New Roman"/>
          <w:sz w:val="22"/>
          <w:szCs w:val="22"/>
        </w:rPr>
        <w:t>sediaan</w:t>
      </w:r>
      <w:proofErr w:type="spellEnd"/>
      <w:r w:rsidRPr="00BC6D6A">
        <w:rPr>
          <w:rFonts w:cs="Times New Roman"/>
          <w:sz w:val="22"/>
          <w:szCs w:val="22"/>
        </w:rPr>
        <w:t xml:space="preserve"> yang </w:t>
      </w:r>
      <w:proofErr w:type="spellStart"/>
      <w:r w:rsidRPr="00BC6D6A">
        <w:rPr>
          <w:rFonts w:cs="Times New Roman"/>
          <w:sz w:val="22"/>
          <w:szCs w:val="22"/>
        </w:rPr>
        <w:t>tersedia</w:t>
      </w:r>
      <w:proofErr w:type="spellEnd"/>
      <w:r w:rsidRPr="00BC6D6A">
        <w:rPr>
          <w:rFonts w:cs="Times New Roman"/>
          <w:sz w:val="22"/>
          <w:szCs w:val="22"/>
        </w:rPr>
        <w:t xml:space="preserve"> (FDA, 2024; MIMS, 2024</w:t>
      </w:r>
      <w:proofErr w:type="gramStart"/>
      <w:r w:rsidRPr="00BC6D6A">
        <w:rPr>
          <w:rFonts w:cs="Times New Roman"/>
          <w:sz w:val="22"/>
          <w:szCs w:val="22"/>
        </w:rPr>
        <w:t>)..</w:t>
      </w:r>
      <w:proofErr w:type="gramEnd"/>
    </w:p>
    <w:p w14:paraId="7A8816A9" w14:textId="77777777" w:rsidR="00B46EE3" w:rsidRPr="00BC6D6A" w:rsidRDefault="00000000">
      <w:pPr>
        <w:spacing w:line="360" w:lineRule="auto"/>
        <w:ind w:firstLine="720"/>
        <w:jc w:val="both"/>
        <w:rPr>
          <w:rFonts w:cs="Times New Roman"/>
          <w:sz w:val="22"/>
          <w:szCs w:val="22"/>
        </w:rPr>
      </w:pPr>
      <w:r w:rsidRPr="00BC6D6A">
        <w:rPr>
          <w:rFonts w:cs="Times New Roman"/>
          <w:sz w:val="22"/>
          <w:szCs w:val="22"/>
        </w:rPr>
        <w:t xml:space="preserve">Adapun ciprofloxacin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kekuatan</w:t>
      </w:r>
      <w:proofErr w:type="spellEnd"/>
      <w:r w:rsidRPr="00BC6D6A">
        <w:rPr>
          <w:rFonts w:cs="Times New Roman"/>
          <w:sz w:val="22"/>
          <w:szCs w:val="22"/>
        </w:rPr>
        <w:t xml:space="preserve"> 500 mg </w:t>
      </w:r>
      <w:proofErr w:type="spellStart"/>
      <w:r w:rsidRPr="00BC6D6A">
        <w:rPr>
          <w:rFonts w:cs="Times New Roman"/>
          <w:sz w:val="22"/>
          <w:szCs w:val="22"/>
        </w:rPr>
        <w:t>tersedia</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bentuk</w:t>
      </w:r>
      <w:proofErr w:type="spellEnd"/>
      <w:r w:rsidRPr="00BC6D6A">
        <w:rPr>
          <w:rFonts w:cs="Times New Roman"/>
          <w:sz w:val="22"/>
          <w:szCs w:val="22"/>
        </w:rPr>
        <w:t xml:space="preserve"> tablet dan </w:t>
      </w:r>
      <w:proofErr w:type="spellStart"/>
      <w:r w:rsidRPr="00BC6D6A">
        <w:rPr>
          <w:rFonts w:cs="Times New Roman"/>
          <w:sz w:val="22"/>
          <w:szCs w:val="22"/>
        </w:rPr>
        <w:t>kaplet</w:t>
      </w:r>
      <w:proofErr w:type="spellEnd"/>
      <w:r w:rsidRPr="00BC6D6A">
        <w:rPr>
          <w:rFonts w:cs="Times New Roman"/>
          <w:sz w:val="22"/>
          <w:szCs w:val="22"/>
        </w:rPr>
        <w:t xml:space="preserve"> yang </w:t>
      </w:r>
      <w:proofErr w:type="spellStart"/>
      <w:r w:rsidRPr="00BC6D6A">
        <w:rPr>
          <w:rFonts w:cs="Times New Roman"/>
          <w:sz w:val="22"/>
          <w:szCs w:val="22"/>
        </w:rPr>
        <w:t>biasa</w:t>
      </w:r>
      <w:proofErr w:type="spellEnd"/>
      <w:r w:rsidRPr="00BC6D6A">
        <w:rPr>
          <w:rFonts w:cs="Times New Roman"/>
          <w:sz w:val="22"/>
          <w:szCs w:val="22"/>
        </w:rPr>
        <w:t xml:space="preserve">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oral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menderita</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sepert</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saluran</w:t>
      </w:r>
      <w:proofErr w:type="spellEnd"/>
      <w:r w:rsidRPr="00BC6D6A">
        <w:rPr>
          <w:rFonts w:cs="Times New Roman"/>
          <w:sz w:val="22"/>
          <w:szCs w:val="22"/>
        </w:rPr>
        <w:t xml:space="preserve"> </w:t>
      </w:r>
      <w:proofErr w:type="spellStart"/>
      <w:r w:rsidRPr="00BC6D6A">
        <w:rPr>
          <w:rFonts w:cs="Times New Roman"/>
          <w:sz w:val="22"/>
          <w:szCs w:val="22"/>
        </w:rPr>
        <w:t>kemih</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prostas</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mata</w:t>
      </w:r>
      <w:proofErr w:type="spellEnd"/>
      <w:r w:rsidRPr="00BC6D6A">
        <w:rPr>
          <w:rFonts w:cs="Times New Roman"/>
          <w:sz w:val="22"/>
          <w:szCs w:val="22"/>
        </w:rPr>
        <w:t xml:space="preserve"> dan </w:t>
      </w:r>
      <w:proofErr w:type="spellStart"/>
      <w:r w:rsidRPr="00BC6D6A">
        <w:rPr>
          <w:rFonts w:cs="Times New Roman"/>
          <w:sz w:val="22"/>
          <w:szCs w:val="22"/>
        </w:rPr>
        <w:t>telinga</w:t>
      </w:r>
      <w:proofErr w:type="spellEnd"/>
      <w:r w:rsidRPr="00BC6D6A">
        <w:rPr>
          <w:rFonts w:cs="Times New Roman"/>
          <w:sz w:val="22"/>
          <w:szCs w:val="22"/>
        </w:rPr>
        <w:t xml:space="preserve"> yang </w:t>
      </w:r>
      <w:proofErr w:type="spellStart"/>
      <w:r w:rsidRPr="00BC6D6A">
        <w:rPr>
          <w:rFonts w:cs="Times New Roman"/>
          <w:sz w:val="22"/>
          <w:szCs w:val="22"/>
        </w:rPr>
        <w:t>disebabkan</w:t>
      </w:r>
      <w:proofErr w:type="spellEnd"/>
      <w:r w:rsidRPr="00BC6D6A">
        <w:rPr>
          <w:rFonts w:cs="Times New Roman"/>
          <w:sz w:val="22"/>
          <w:szCs w:val="22"/>
        </w:rPr>
        <w:t xml:space="preserve"> oleh </w:t>
      </w:r>
      <w:proofErr w:type="spellStart"/>
      <w:r w:rsidRPr="00BC6D6A">
        <w:rPr>
          <w:rFonts w:cs="Times New Roman"/>
          <w:sz w:val="22"/>
          <w:szCs w:val="22"/>
        </w:rPr>
        <w:t>infeksi</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yang </w:t>
      </w:r>
      <w:proofErr w:type="spellStart"/>
      <w:r w:rsidRPr="00BC6D6A">
        <w:rPr>
          <w:rFonts w:cs="Times New Roman"/>
          <w:sz w:val="22"/>
          <w:szCs w:val="22"/>
        </w:rPr>
        <w:t>sensitif</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ciprofloxacin (FDA, 2024; MIMS, 2024). </w:t>
      </w:r>
    </w:p>
    <w:p w14:paraId="51DA581D" w14:textId="77777777" w:rsidR="00B46EE3" w:rsidRPr="00BC6D6A" w:rsidRDefault="00B46EE3">
      <w:pPr>
        <w:spacing w:line="360" w:lineRule="auto"/>
        <w:ind w:firstLine="720"/>
        <w:jc w:val="both"/>
        <w:rPr>
          <w:rFonts w:cs="Times New Roman"/>
          <w:sz w:val="22"/>
          <w:szCs w:val="22"/>
        </w:rPr>
      </w:pPr>
    </w:p>
    <w:p w14:paraId="40734127" w14:textId="77777777" w:rsidR="00B46EE3" w:rsidRPr="00BC6D6A" w:rsidRDefault="00000000">
      <w:pPr>
        <w:spacing w:line="360" w:lineRule="auto"/>
        <w:jc w:val="both"/>
        <w:rPr>
          <w:rFonts w:cs="Times New Roman"/>
          <w:b/>
          <w:sz w:val="22"/>
          <w:szCs w:val="22"/>
        </w:rPr>
      </w:pPr>
      <w:r w:rsidRPr="00BC6D6A">
        <w:rPr>
          <w:rFonts w:cs="Times New Roman"/>
          <w:b/>
          <w:sz w:val="22"/>
          <w:szCs w:val="22"/>
        </w:rPr>
        <w:t>KUALITAS PENGGUNAAN ANTIBIOTIK PROFILAKSIS</w:t>
      </w:r>
    </w:p>
    <w:p w14:paraId="20974F3C" w14:textId="77777777" w:rsidR="00B46EE3" w:rsidRPr="00BC6D6A" w:rsidRDefault="00000000">
      <w:pPr>
        <w:spacing w:line="360" w:lineRule="auto"/>
        <w:ind w:firstLine="720"/>
        <w:jc w:val="both"/>
        <w:rPr>
          <w:rFonts w:cs="Times New Roman"/>
          <w:sz w:val="22"/>
          <w:szCs w:val="22"/>
        </w:rPr>
      </w:pPr>
      <w:bookmarkStart w:id="9" w:name="_heading=h.2s8eyo1" w:colFirst="0" w:colLast="0"/>
      <w:bookmarkEnd w:id="9"/>
      <w:proofErr w:type="spellStart"/>
      <w:r w:rsidRPr="00BC6D6A">
        <w:rPr>
          <w:rFonts w:cs="Times New Roman"/>
          <w:sz w:val="22"/>
          <w:szCs w:val="22"/>
        </w:rPr>
        <w:t>Evaluasi</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bertujuan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mengetahui</w:t>
      </w:r>
      <w:proofErr w:type="spellEnd"/>
      <w:r w:rsidRPr="00BC6D6A">
        <w:rPr>
          <w:rFonts w:cs="Times New Roman"/>
          <w:sz w:val="22"/>
          <w:szCs w:val="22"/>
        </w:rPr>
        <w:t xml:space="preserve"> </w:t>
      </w:r>
      <w:proofErr w:type="spellStart"/>
      <w:r w:rsidRPr="00BC6D6A">
        <w:rPr>
          <w:rFonts w:cs="Times New Roman"/>
          <w:sz w:val="22"/>
          <w:szCs w:val="22"/>
        </w:rPr>
        <w:t>profil</w:t>
      </w:r>
      <w:proofErr w:type="spellEnd"/>
      <w:r w:rsidRPr="00BC6D6A">
        <w:rPr>
          <w:rFonts w:cs="Times New Roman"/>
          <w:sz w:val="22"/>
          <w:szCs w:val="22"/>
        </w:rPr>
        <w:t xml:space="preserve"> dan </w:t>
      </w:r>
      <w:proofErr w:type="spellStart"/>
      <w:r w:rsidRPr="00BC6D6A">
        <w:rPr>
          <w:rFonts w:cs="Times New Roman"/>
          <w:sz w:val="22"/>
          <w:szCs w:val="22"/>
        </w:rPr>
        <w:t>jumlah</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di </w:t>
      </w:r>
      <w:proofErr w:type="spellStart"/>
      <w:r w:rsidRPr="00BC6D6A">
        <w:rPr>
          <w:rFonts w:cs="Times New Roman"/>
          <w:sz w:val="22"/>
          <w:szCs w:val="22"/>
        </w:rPr>
        <w:t>rumah</w:t>
      </w:r>
      <w:proofErr w:type="spellEnd"/>
      <w:r w:rsidRPr="00BC6D6A">
        <w:rPr>
          <w:rFonts w:cs="Times New Roman"/>
          <w:sz w:val="22"/>
          <w:szCs w:val="22"/>
        </w:rPr>
        <w:t xml:space="preserve"> </w:t>
      </w:r>
      <w:proofErr w:type="spellStart"/>
      <w:r w:rsidRPr="00BC6D6A">
        <w:rPr>
          <w:rFonts w:cs="Times New Roman"/>
          <w:sz w:val="22"/>
          <w:szCs w:val="22"/>
        </w:rPr>
        <w:t>sakit</w:t>
      </w:r>
      <w:proofErr w:type="spellEnd"/>
      <w:r w:rsidRPr="00BC6D6A">
        <w:rPr>
          <w:rFonts w:cs="Times New Roman"/>
          <w:sz w:val="22"/>
          <w:szCs w:val="22"/>
        </w:rPr>
        <w:t xml:space="preserve"> </w:t>
      </w:r>
      <w:proofErr w:type="spellStart"/>
      <w:r w:rsidRPr="00BC6D6A">
        <w:rPr>
          <w:rFonts w:cs="Times New Roman"/>
          <w:sz w:val="22"/>
          <w:szCs w:val="22"/>
        </w:rPr>
        <w:t>serta</w:t>
      </w:r>
      <w:proofErr w:type="spellEnd"/>
      <w:r w:rsidRPr="00BC6D6A">
        <w:rPr>
          <w:rFonts w:cs="Times New Roman"/>
          <w:sz w:val="22"/>
          <w:szCs w:val="22"/>
        </w:rPr>
        <w:t xml:space="preserve">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di </w:t>
      </w:r>
      <w:proofErr w:type="spellStart"/>
      <w:r w:rsidRPr="00BC6D6A">
        <w:rPr>
          <w:rFonts w:cs="Times New Roman"/>
          <w:sz w:val="22"/>
          <w:szCs w:val="22"/>
        </w:rPr>
        <w:t>rumah</w:t>
      </w:r>
      <w:proofErr w:type="spellEnd"/>
      <w:r w:rsidRPr="00BC6D6A">
        <w:rPr>
          <w:rFonts w:cs="Times New Roman"/>
          <w:sz w:val="22"/>
          <w:szCs w:val="22"/>
        </w:rPr>
        <w:t xml:space="preserve"> </w:t>
      </w:r>
      <w:proofErr w:type="spellStart"/>
      <w:r w:rsidRPr="00BC6D6A">
        <w:rPr>
          <w:rFonts w:cs="Times New Roman"/>
          <w:sz w:val="22"/>
          <w:szCs w:val="22"/>
        </w:rPr>
        <w:t>sakit</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sistemik</w:t>
      </w:r>
      <w:proofErr w:type="spellEnd"/>
      <w:r w:rsidRPr="00BC6D6A">
        <w:rPr>
          <w:rFonts w:cs="Times New Roman"/>
          <w:sz w:val="22"/>
          <w:szCs w:val="22"/>
        </w:rPr>
        <w:t xml:space="preserve">, </w:t>
      </w:r>
      <w:proofErr w:type="spellStart"/>
      <w:r w:rsidRPr="00BC6D6A">
        <w:rPr>
          <w:rFonts w:cs="Times New Roman"/>
          <w:sz w:val="22"/>
          <w:szCs w:val="22"/>
        </w:rPr>
        <w:t>terstandar</w:t>
      </w:r>
      <w:proofErr w:type="spellEnd"/>
      <w:r w:rsidRPr="00BC6D6A">
        <w:rPr>
          <w:rFonts w:cs="Times New Roman"/>
          <w:sz w:val="22"/>
          <w:szCs w:val="22"/>
        </w:rPr>
        <w:t xml:space="preserve">, dan </w:t>
      </w:r>
      <w:proofErr w:type="spellStart"/>
      <w:r w:rsidRPr="00BC6D6A">
        <w:rPr>
          <w:rFonts w:cs="Times New Roman"/>
          <w:sz w:val="22"/>
          <w:szCs w:val="22"/>
        </w:rPr>
        <w:t>sebagai</w:t>
      </w:r>
      <w:proofErr w:type="spellEnd"/>
      <w:r w:rsidRPr="00BC6D6A">
        <w:rPr>
          <w:rFonts w:cs="Times New Roman"/>
          <w:sz w:val="22"/>
          <w:szCs w:val="22"/>
        </w:rPr>
        <w:t xml:space="preserve"> indicator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layanan</w:t>
      </w:r>
      <w:proofErr w:type="spellEnd"/>
      <w:r w:rsidRPr="00BC6D6A">
        <w:rPr>
          <w:rFonts w:cs="Times New Roman"/>
          <w:sz w:val="22"/>
          <w:szCs w:val="22"/>
        </w:rPr>
        <w:t xml:space="preserve"> </w:t>
      </w:r>
      <w:proofErr w:type="spellStart"/>
      <w:r w:rsidRPr="00BC6D6A">
        <w:rPr>
          <w:rFonts w:cs="Times New Roman"/>
          <w:sz w:val="22"/>
          <w:szCs w:val="22"/>
        </w:rPr>
        <w:t>rumah</w:t>
      </w:r>
      <w:proofErr w:type="spellEnd"/>
      <w:r w:rsidRPr="00BC6D6A">
        <w:rPr>
          <w:rFonts w:cs="Times New Roman"/>
          <w:sz w:val="22"/>
          <w:szCs w:val="22"/>
        </w:rPr>
        <w:t xml:space="preserve"> </w:t>
      </w:r>
      <w:proofErr w:type="spellStart"/>
      <w:r w:rsidRPr="00BC6D6A">
        <w:rPr>
          <w:rFonts w:cs="Times New Roman"/>
          <w:sz w:val="22"/>
          <w:szCs w:val="22"/>
        </w:rPr>
        <w:t>sakit</w:t>
      </w:r>
      <w:proofErr w:type="spellEnd"/>
      <w:r w:rsidRPr="00BC6D6A">
        <w:rPr>
          <w:rFonts w:cs="Times New Roman"/>
          <w:sz w:val="22"/>
          <w:szCs w:val="22"/>
        </w:rPr>
        <w:t xml:space="preserve"> (</w:t>
      </w:r>
      <w:proofErr w:type="spellStart"/>
      <w:r w:rsidRPr="00BC6D6A">
        <w:rPr>
          <w:rFonts w:cs="Times New Roman"/>
          <w:sz w:val="22"/>
          <w:szCs w:val="22"/>
        </w:rPr>
        <w:t>Kemenkes</w:t>
      </w:r>
      <w:proofErr w:type="spellEnd"/>
      <w:r w:rsidRPr="00BC6D6A">
        <w:rPr>
          <w:rFonts w:cs="Times New Roman"/>
          <w:sz w:val="22"/>
          <w:szCs w:val="22"/>
        </w:rPr>
        <w:t xml:space="preserve"> RI, 2019). </w:t>
      </w:r>
      <w:proofErr w:type="spellStart"/>
      <w:r w:rsidRPr="00BC6D6A">
        <w:rPr>
          <w:rFonts w:cs="Times New Roman"/>
          <w:sz w:val="22"/>
          <w:szCs w:val="22"/>
        </w:rPr>
        <w:t>Evaluasi</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kualitatif</w:t>
      </w:r>
      <w:proofErr w:type="spellEnd"/>
      <w:r w:rsidRPr="00BC6D6A">
        <w:rPr>
          <w:rFonts w:cs="Times New Roman"/>
          <w:sz w:val="22"/>
          <w:szCs w:val="22"/>
        </w:rPr>
        <w:t xml:space="preserve"> </w:t>
      </w:r>
      <w:proofErr w:type="spellStart"/>
      <w:r w:rsidRPr="00BC6D6A">
        <w:rPr>
          <w:rFonts w:cs="Times New Roman"/>
          <w:sz w:val="22"/>
          <w:szCs w:val="22"/>
        </w:rPr>
        <w:t>bisa</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metode</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sz w:val="22"/>
          <w:szCs w:val="22"/>
        </w:rPr>
        <w:t xml:space="preserve">, yang </w:t>
      </w:r>
      <w:proofErr w:type="spellStart"/>
      <w:r w:rsidRPr="00BC6D6A">
        <w:rPr>
          <w:rFonts w:cs="Times New Roman"/>
          <w:sz w:val="22"/>
          <w:szCs w:val="22"/>
        </w:rPr>
        <w:t>membantu</w:t>
      </w:r>
      <w:proofErr w:type="spellEnd"/>
      <w:r w:rsidRPr="00BC6D6A">
        <w:rPr>
          <w:rFonts w:cs="Times New Roman"/>
          <w:sz w:val="22"/>
          <w:szCs w:val="22"/>
        </w:rPr>
        <w:t xml:space="preserve"> </w:t>
      </w:r>
      <w:proofErr w:type="spellStart"/>
      <w:r w:rsidRPr="00BC6D6A">
        <w:rPr>
          <w:rFonts w:cs="Times New Roman"/>
          <w:sz w:val="22"/>
          <w:szCs w:val="22"/>
        </w:rPr>
        <w:t>mengevaluasi</w:t>
      </w:r>
      <w:proofErr w:type="spellEnd"/>
      <w:r w:rsidRPr="00BC6D6A">
        <w:rPr>
          <w:rFonts w:cs="Times New Roman"/>
          <w:sz w:val="22"/>
          <w:szCs w:val="22"/>
        </w:rPr>
        <w:t xml:space="preserve"> </w:t>
      </w:r>
      <w:proofErr w:type="spellStart"/>
      <w:r w:rsidRPr="00BC6D6A">
        <w:rPr>
          <w:rFonts w:cs="Times New Roman"/>
          <w:sz w:val="22"/>
          <w:szCs w:val="22"/>
        </w:rPr>
        <w:t>ketepatan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antibiotic (</w:t>
      </w:r>
      <w:proofErr w:type="spellStart"/>
      <w:r w:rsidRPr="00BC6D6A">
        <w:rPr>
          <w:rFonts w:cs="Times New Roman"/>
          <w:sz w:val="22"/>
          <w:szCs w:val="22"/>
        </w:rPr>
        <w:t>Gyssens</w:t>
      </w:r>
      <w:proofErr w:type="spellEnd"/>
      <w:r w:rsidRPr="00BC6D6A">
        <w:rPr>
          <w:rFonts w:cs="Times New Roman"/>
          <w:sz w:val="22"/>
          <w:szCs w:val="22"/>
        </w:rPr>
        <w:t xml:space="preserve">, 2005). </w:t>
      </w:r>
    </w:p>
    <w:p w14:paraId="67C77102" w14:textId="77777777" w:rsidR="00B46EE3" w:rsidRPr="00BC6D6A" w:rsidRDefault="00000000">
      <w:pPr>
        <w:spacing w:line="360" w:lineRule="auto"/>
        <w:ind w:firstLine="720"/>
        <w:jc w:val="center"/>
        <w:rPr>
          <w:rFonts w:cs="Times New Roman"/>
          <w:b/>
        </w:rPr>
      </w:pPr>
      <w:bookmarkStart w:id="10" w:name="_heading=h.17dp8vu" w:colFirst="0" w:colLast="0"/>
      <w:bookmarkEnd w:id="10"/>
      <w:r w:rsidRPr="00BC6D6A">
        <w:rPr>
          <w:rFonts w:cs="Times New Roman"/>
          <w:b/>
          <w:color w:val="000000"/>
        </w:rPr>
        <w:t xml:space="preserve">Tabel 4. </w:t>
      </w:r>
      <w:proofErr w:type="spellStart"/>
      <w:r w:rsidRPr="00BC6D6A">
        <w:rPr>
          <w:rFonts w:cs="Times New Roman"/>
          <w:b/>
        </w:rPr>
        <w:t>Analisis</w:t>
      </w:r>
      <w:proofErr w:type="spellEnd"/>
      <w:r w:rsidRPr="00BC6D6A">
        <w:rPr>
          <w:rFonts w:cs="Times New Roman"/>
          <w:b/>
        </w:rPr>
        <w:t xml:space="preserve"> </w:t>
      </w:r>
      <w:proofErr w:type="spellStart"/>
      <w:r w:rsidRPr="00BC6D6A">
        <w:rPr>
          <w:rFonts w:cs="Times New Roman"/>
          <w:b/>
        </w:rPr>
        <w:t>Kualitas</w:t>
      </w:r>
      <w:proofErr w:type="spellEnd"/>
      <w:r w:rsidRPr="00BC6D6A">
        <w:rPr>
          <w:rFonts w:cs="Times New Roman"/>
          <w:b/>
        </w:rPr>
        <w:t xml:space="preserve"> </w:t>
      </w:r>
      <w:proofErr w:type="spellStart"/>
      <w:r w:rsidRPr="00BC6D6A">
        <w:rPr>
          <w:rFonts w:cs="Times New Roman"/>
          <w:b/>
        </w:rPr>
        <w:t>Penggunaan</w:t>
      </w:r>
      <w:proofErr w:type="spellEnd"/>
      <w:r w:rsidRPr="00BC6D6A">
        <w:rPr>
          <w:rFonts w:cs="Times New Roman"/>
          <w:b/>
        </w:rPr>
        <w:t xml:space="preserve"> </w:t>
      </w:r>
      <w:proofErr w:type="spellStart"/>
      <w:r w:rsidRPr="00BC6D6A">
        <w:rPr>
          <w:rFonts w:cs="Times New Roman"/>
          <w:b/>
        </w:rPr>
        <w:t>Antibiotik</w:t>
      </w:r>
      <w:proofErr w:type="spellEnd"/>
      <w:r w:rsidRPr="00BC6D6A">
        <w:rPr>
          <w:rFonts w:cs="Times New Roman"/>
          <w:b/>
        </w:rPr>
        <w:t xml:space="preserve"> </w:t>
      </w:r>
      <w:proofErr w:type="spellStart"/>
      <w:r w:rsidRPr="00BC6D6A">
        <w:rPr>
          <w:rFonts w:cs="Times New Roman"/>
          <w:b/>
        </w:rPr>
        <w:t>Profilaksis</w:t>
      </w:r>
      <w:proofErr w:type="spellEnd"/>
      <w:r w:rsidRPr="00BC6D6A">
        <w:rPr>
          <w:rFonts w:cs="Times New Roman"/>
          <w:b/>
        </w:rPr>
        <w:t xml:space="preserve"> Pada Pasien Bedah Digestif di </w:t>
      </w:r>
    </w:p>
    <w:p w14:paraId="69474D1D" w14:textId="77777777" w:rsidR="00B46EE3" w:rsidRPr="00BC6D6A" w:rsidRDefault="00000000">
      <w:pPr>
        <w:spacing w:line="360" w:lineRule="auto"/>
        <w:ind w:firstLine="720"/>
        <w:jc w:val="center"/>
        <w:rPr>
          <w:rFonts w:cs="Times New Roman"/>
          <w:b/>
        </w:rPr>
      </w:pPr>
      <w:r w:rsidRPr="00BC6D6A">
        <w:rPr>
          <w:rFonts w:cs="Times New Roman"/>
          <w:b/>
        </w:rPr>
        <w:t xml:space="preserve">Rumah Sakit X </w:t>
      </w:r>
      <w:proofErr w:type="spellStart"/>
      <w:r w:rsidRPr="00BC6D6A">
        <w:rPr>
          <w:rFonts w:cs="Times New Roman"/>
          <w:b/>
        </w:rPr>
        <w:t>Tasikmalaya</w:t>
      </w:r>
      <w:proofErr w:type="spellEnd"/>
      <w:r w:rsidRPr="00BC6D6A">
        <w:rPr>
          <w:rFonts w:cs="Times New Roman"/>
          <w:b/>
        </w:rPr>
        <w:t xml:space="preserve"> 2023 </w:t>
      </w:r>
      <w:proofErr w:type="spellStart"/>
      <w:r w:rsidRPr="00BC6D6A">
        <w:rPr>
          <w:rFonts w:cs="Times New Roman"/>
          <w:b/>
        </w:rPr>
        <w:t>Berdasarkan</w:t>
      </w:r>
      <w:proofErr w:type="spellEnd"/>
      <w:r w:rsidRPr="00BC6D6A">
        <w:rPr>
          <w:rFonts w:cs="Times New Roman"/>
          <w:b/>
        </w:rPr>
        <w:t xml:space="preserve"> Metode </w:t>
      </w:r>
      <w:proofErr w:type="spellStart"/>
      <w:r w:rsidRPr="00BC6D6A">
        <w:rPr>
          <w:rFonts w:cs="Times New Roman"/>
          <w:b/>
          <w:i/>
        </w:rPr>
        <w:t>Gyssens</w:t>
      </w:r>
      <w:proofErr w:type="spellEnd"/>
    </w:p>
    <w:tbl>
      <w:tblPr>
        <w:tblStyle w:val="a8"/>
        <w:tblW w:w="6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1982"/>
        <w:gridCol w:w="1565"/>
        <w:gridCol w:w="1417"/>
      </w:tblGrid>
      <w:tr w:rsidR="00B46EE3" w:rsidRPr="00BC6D6A" w14:paraId="4877211F" w14:textId="77777777">
        <w:trPr>
          <w:jc w:val="center"/>
        </w:trPr>
        <w:tc>
          <w:tcPr>
            <w:tcW w:w="1981" w:type="dxa"/>
            <w:tcBorders>
              <w:left w:val="nil"/>
              <w:bottom w:val="single" w:sz="4" w:space="0" w:color="000000"/>
              <w:right w:val="nil"/>
            </w:tcBorders>
          </w:tcPr>
          <w:p w14:paraId="6F66473F" w14:textId="77777777" w:rsidR="00B46EE3" w:rsidRPr="00E255CE" w:rsidRDefault="00000000">
            <w:pPr>
              <w:ind w:left="184" w:hanging="184"/>
              <w:jc w:val="center"/>
              <w:rPr>
                <w:rFonts w:cs="Times New Roman"/>
                <w:b/>
                <w:bCs/>
              </w:rPr>
            </w:pPr>
            <w:bookmarkStart w:id="11" w:name="_heading=h.3rdcrjn" w:colFirst="0" w:colLast="0"/>
            <w:bookmarkEnd w:id="11"/>
            <w:proofErr w:type="spellStart"/>
            <w:r w:rsidRPr="00E255CE">
              <w:rPr>
                <w:rFonts w:cs="Times New Roman"/>
                <w:b/>
                <w:bCs/>
              </w:rPr>
              <w:t>Rasionalitas</w:t>
            </w:r>
            <w:proofErr w:type="spellEnd"/>
          </w:p>
        </w:tc>
        <w:tc>
          <w:tcPr>
            <w:tcW w:w="1982" w:type="dxa"/>
            <w:tcBorders>
              <w:left w:val="nil"/>
              <w:bottom w:val="single" w:sz="4" w:space="0" w:color="000000"/>
              <w:right w:val="nil"/>
            </w:tcBorders>
          </w:tcPr>
          <w:p w14:paraId="41C82370" w14:textId="77777777" w:rsidR="00B46EE3" w:rsidRPr="00E255CE" w:rsidRDefault="00000000">
            <w:pPr>
              <w:jc w:val="center"/>
              <w:rPr>
                <w:rFonts w:cs="Times New Roman"/>
                <w:b/>
                <w:bCs/>
              </w:rPr>
            </w:pPr>
            <w:proofErr w:type="spellStart"/>
            <w:r w:rsidRPr="00E255CE">
              <w:rPr>
                <w:rFonts w:cs="Times New Roman"/>
                <w:b/>
                <w:bCs/>
              </w:rPr>
              <w:t>Kategori</w:t>
            </w:r>
            <w:proofErr w:type="spellEnd"/>
            <w:r w:rsidRPr="00E255CE">
              <w:rPr>
                <w:rFonts w:cs="Times New Roman"/>
                <w:b/>
                <w:bCs/>
              </w:rPr>
              <w:t xml:space="preserve"> </w:t>
            </w:r>
            <w:proofErr w:type="spellStart"/>
            <w:r w:rsidRPr="00E255CE">
              <w:rPr>
                <w:rFonts w:cs="Times New Roman"/>
                <w:b/>
                <w:bCs/>
                <w:i/>
              </w:rPr>
              <w:t>Gyssens</w:t>
            </w:r>
            <w:proofErr w:type="spellEnd"/>
          </w:p>
        </w:tc>
        <w:tc>
          <w:tcPr>
            <w:tcW w:w="1565" w:type="dxa"/>
            <w:tcBorders>
              <w:left w:val="nil"/>
              <w:bottom w:val="single" w:sz="4" w:space="0" w:color="000000"/>
              <w:right w:val="nil"/>
            </w:tcBorders>
          </w:tcPr>
          <w:p w14:paraId="36045ABA" w14:textId="77777777" w:rsidR="00B46EE3" w:rsidRPr="00E255CE" w:rsidRDefault="00000000">
            <w:pPr>
              <w:jc w:val="center"/>
              <w:rPr>
                <w:rFonts w:cs="Times New Roman"/>
                <w:b/>
                <w:bCs/>
              </w:rPr>
            </w:pPr>
            <w:proofErr w:type="spellStart"/>
            <w:r w:rsidRPr="00E255CE">
              <w:rPr>
                <w:rFonts w:cs="Times New Roman"/>
                <w:b/>
                <w:bCs/>
              </w:rPr>
              <w:t>Jumlah</w:t>
            </w:r>
            <w:proofErr w:type="spellEnd"/>
          </w:p>
        </w:tc>
        <w:tc>
          <w:tcPr>
            <w:tcW w:w="1417" w:type="dxa"/>
            <w:tcBorders>
              <w:left w:val="nil"/>
              <w:bottom w:val="single" w:sz="4" w:space="0" w:color="000000"/>
              <w:right w:val="nil"/>
            </w:tcBorders>
          </w:tcPr>
          <w:p w14:paraId="60195FA5" w14:textId="77777777" w:rsidR="00B46EE3" w:rsidRPr="00E255CE" w:rsidRDefault="00000000">
            <w:pPr>
              <w:jc w:val="center"/>
              <w:rPr>
                <w:rFonts w:cs="Times New Roman"/>
                <w:b/>
                <w:bCs/>
              </w:rPr>
            </w:pPr>
            <w:r w:rsidRPr="00E255CE">
              <w:rPr>
                <w:rFonts w:cs="Times New Roman"/>
                <w:b/>
                <w:bCs/>
              </w:rPr>
              <w:t>% (N=94)</w:t>
            </w:r>
          </w:p>
        </w:tc>
      </w:tr>
      <w:tr w:rsidR="00B46EE3" w:rsidRPr="00BC6D6A" w14:paraId="33670BA3" w14:textId="77777777">
        <w:trPr>
          <w:jc w:val="center"/>
        </w:trPr>
        <w:tc>
          <w:tcPr>
            <w:tcW w:w="1981" w:type="dxa"/>
            <w:tcBorders>
              <w:left w:val="nil"/>
              <w:bottom w:val="nil"/>
              <w:right w:val="nil"/>
            </w:tcBorders>
          </w:tcPr>
          <w:p w14:paraId="1D3E767C" w14:textId="77777777" w:rsidR="00B46EE3" w:rsidRPr="00BC6D6A" w:rsidRDefault="00000000">
            <w:pPr>
              <w:rPr>
                <w:rFonts w:cs="Times New Roman"/>
              </w:rPr>
            </w:pPr>
            <w:proofErr w:type="spellStart"/>
            <w:r w:rsidRPr="00BC6D6A">
              <w:rPr>
                <w:rFonts w:cs="Times New Roman"/>
              </w:rPr>
              <w:t>Rasional</w:t>
            </w:r>
            <w:proofErr w:type="spellEnd"/>
          </w:p>
        </w:tc>
        <w:tc>
          <w:tcPr>
            <w:tcW w:w="1982" w:type="dxa"/>
            <w:tcBorders>
              <w:left w:val="nil"/>
              <w:bottom w:val="nil"/>
              <w:right w:val="nil"/>
            </w:tcBorders>
          </w:tcPr>
          <w:p w14:paraId="00542CD2" w14:textId="77777777" w:rsidR="00B46EE3" w:rsidRPr="00BC6D6A" w:rsidRDefault="00000000">
            <w:pPr>
              <w:jc w:val="center"/>
              <w:rPr>
                <w:rFonts w:cs="Times New Roman"/>
              </w:rPr>
            </w:pPr>
            <w:r w:rsidRPr="00BC6D6A">
              <w:rPr>
                <w:rFonts w:cs="Times New Roman"/>
              </w:rPr>
              <w:t>0</w:t>
            </w:r>
          </w:p>
        </w:tc>
        <w:tc>
          <w:tcPr>
            <w:tcW w:w="1565" w:type="dxa"/>
            <w:tcBorders>
              <w:left w:val="nil"/>
              <w:bottom w:val="nil"/>
              <w:right w:val="nil"/>
            </w:tcBorders>
          </w:tcPr>
          <w:p w14:paraId="3848297D" w14:textId="77777777" w:rsidR="00B46EE3" w:rsidRPr="00BC6D6A" w:rsidRDefault="00000000">
            <w:pPr>
              <w:jc w:val="center"/>
              <w:rPr>
                <w:rFonts w:cs="Times New Roman"/>
              </w:rPr>
            </w:pPr>
            <w:r w:rsidRPr="00BC6D6A">
              <w:rPr>
                <w:rFonts w:cs="Times New Roman"/>
              </w:rPr>
              <w:t>89</w:t>
            </w:r>
          </w:p>
        </w:tc>
        <w:tc>
          <w:tcPr>
            <w:tcW w:w="1417" w:type="dxa"/>
            <w:tcBorders>
              <w:left w:val="nil"/>
              <w:bottom w:val="nil"/>
              <w:right w:val="nil"/>
            </w:tcBorders>
          </w:tcPr>
          <w:p w14:paraId="436C78E7" w14:textId="77777777" w:rsidR="00B46EE3" w:rsidRPr="00BC6D6A" w:rsidRDefault="00000000">
            <w:pPr>
              <w:jc w:val="center"/>
              <w:rPr>
                <w:rFonts w:cs="Times New Roman"/>
              </w:rPr>
            </w:pPr>
            <w:r w:rsidRPr="00BC6D6A">
              <w:rPr>
                <w:rFonts w:cs="Times New Roman"/>
              </w:rPr>
              <w:t>94,68</w:t>
            </w:r>
          </w:p>
        </w:tc>
      </w:tr>
      <w:tr w:rsidR="00B46EE3" w:rsidRPr="00BC6D6A" w14:paraId="0D3BA3C1" w14:textId="77777777">
        <w:trPr>
          <w:jc w:val="center"/>
        </w:trPr>
        <w:tc>
          <w:tcPr>
            <w:tcW w:w="1981" w:type="dxa"/>
            <w:tcBorders>
              <w:top w:val="nil"/>
              <w:left w:val="nil"/>
              <w:bottom w:val="nil"/>
              <w:right w:val="nil"/>
            </w:tcBorders>
          </w:tcPr>
          <w:p w14:paraId="13363E44" w14:textId="77777777" w:rsidR="00B46EE3" w:rsidRPr="00BC6D6A" w:rsidRDefault="00000000">
            <w:pPr>
              <w:rPr>
                <w:rFonts w:cs="Times New Roman"/>
              </w:rPr>
            </w:pPr>
            <w:r w:rsidRPr="00BC6D6A">
              <w:rPr>
                <w:rFonts w:cs="Times New Roman"/>
              </w:rPr>
              <w:t xml:space="preserve">Tidak </w:t>
            </w:r>
            <w:proofErr w:type="spellStart"/>
            <w:r w:rsidRPr="00BC6D6A">
              <w:rPr>
                <w:rFonts w:cs="Times New Roman"/>
              </w:rPr>
              <w:t>Rasional</w:t>
            </w:r>
            <w:proofErr w:type="spellEnd"/>
          </w:p>
        </w:tc>
        <w:tc>
          <w:tcPr>
            <w:tcW w:w="1982" w:type="dxa"/>
            <w:tcBorders>
              <w:top w:val="nil"/>
              <w:left w:val="nil"/>
              <w:bottom w:val="nil"/>
              <w:right w:val="nil"/>
            </w:tcBorders>
          </w:tcPr>
          <w:p w14:paraId="22FF6636" w14:textId="77777777" w:rsidR="00B46EE3" w:rsidRPr="00BC6D6A" w:rsidRDefault="00000000">
            <w:pPr>
              <w:jc w:val="center"/>
              <w:rPr>
                <w:rFonts w:cs="Times New Roman"/>
              </w:rPr>
            </w:pPr>
            <w:r w:rsidRPr="00BC6D6A">
              <w:rPr>
                <w:rFonts w:cs="Times New Roman"/>
              </w:rPr>
              <w:t>IV A</w:t>
            </w:r>
          </w:p>
        </w:tc>
        <w:tc>
          <w:tcPr>
            <w:tcW w:w="1565" w:type="dxa"/>
            <w:tcBorders>
              <w:top w:val="nil"/>
              <w:left w:val="nil"/>
              <w:bottom w:val="nil"/>
              <w:right w:val="nil"/>
            </w:tcBorders>
          </w:tcPr>
          <w:p w14:paraId="3B00DF3D" w14:textId="77777777" w:rsidR="00B46EE3" w:rsidRPr="00BC6D6A" w:rsidRDefault="00000000">
            <w:pPr>
              <w:jc w:val="center"/>
              <w:rPr>
                <w:rFonts w:cs="Times New Roman"/>
              </w:rPr>
            </w:pPr>
            <w:r w:rsidRPr="00BC6D6A">
              <w:rPr>
                <w:rFonts w:cs="Times New Roman"/>
              </w:rPr>
              <w:t>2</w:t>
            </w:r>
          </w:p>
        </w:tc>
        <w:tc>
          <w:tcPr>
            <w:tcW w:w="1417" w:type="dxa"/>
            <w:tcBorders>
              <w:top w:val="nil"/>
              <w:left w:val="nil"/>
              <w:bottom w:val="nil"/>
              <w:right w:val="nil"/>
            </w:tcBorders>
          </w:tcPr>
          <w:p w14:paraId="2B80F4CA" w14:textId="77777777" w:rsidR="00B46EE3" w:rsidRPr="00BC6D6A" w:rsidRDefault="00000000">
            <w:pPr>
              <w:jc w:val="center"/>
              <w:rPr>
                <w:rFonts w:cs="Times New Roman"/>
              </w:rPr>
            </w:pPr>
            <w:r w:rsidRPr="00BC6D6A">
              <w:rPr>
                <w:rFonts w:cs="Times New Roman"/>
              </w:rPr>
              <w:t>2,13</w:t>
            </w:r>
          </w:p>
        </w:tc>
      </w:tr>
      <w:tr w:rsidR="00B46EE3" w:rsidRPr="00BC6D6A" w14:paraId="6305C824" w14:textId="77777777">
        <w:trPr>
          <w:jc w:val="center"/>
        </w:trPr>
        <w:tc>
          <w:tcPr>
            <w:tcW w:w="1981" w:type="dxa"/>
            <w:tcBorders>
              <w:top w:val="nil"/>
              <w:left w:val="nil"/>
              <w:bottom w:val="single" w:sz="4" w:space="0" w:color="000000"/>
              <w:right w:val="nil"/>
            </w:tcBorders>
          </w:tcPr>
          <w:p w14:paraId="4405E9B2" w14:textId="77777777" w:rsidR="00B46EE3" w:rsidRPr="00BC6D6A" w:rsidRDefault="00B46EE3">
            <w:pPr>
              <w:rPr>
                <w:rFonts w:cs="Times New Roman"/>
              </w:rPr>
            </w:pPr>
          </w:p>
        </w:tc>
        <w:tc>
          <w:tcPr>
            <w:tcW w:w="1982" w:type="dxa"/>
            <w:tcBorders>
              <w:top w:val="nil"/>
              <w:left w:val="nil"/>
              <w:bottom w:val="single" w:sz="4" w:space="0" w:color="000000"/>
              <w:right w:val="nil"/>
            </w:tcBorders>
          </w:tcPr>
          <w:p w14:paraId="31E32F8D" w14:textId="77777777" w:rsidR="00B46EE3" w:rsidRPr="00BC6D6A" w:rsidRDefault="00000000">
            <w:pPr>
              <w:jc w:val="center"/>
              <w:rPr>
                <w:rFonts w:cs="Times New Roman"/>
              </w:rPr>
            </w:pPr>
            <w:r w:rsidRPr="00BC6D6A">
              <w:rPr>
                <w:rFonts w:cs="Times New Roman"/>
              </w:rPr>
              <w:t>II A</w:t>
            </w:r>
          </w:p>
        </w:tc>
        <w:tc>
          <w:tcPr>
            <w:tcW w:w="1565" w:type="dxa"/>
            <w:tcBorders>
              <w:top w:val="nil"/>
              <w:left w:val="nil"/>
              <w:bottom w:val="single" w:sz="4" w:space="0" w:color="000000"/>
              <w:right w:val="nil"/>
            </w:tcBorders>
          </w:tcPr>
          <w:p w14:paraId="73A3FE8C" w14:textId="77777777" w:rsidR="00B46EE3" w:rsidRPr="00BC6D6A" w:rsidRDefault="00000000">
            <w:pPr>
              <w:jc w:val="center"/>
              <w:rPr>
                <w:rFonts w:cs="Times New Roman"/>
              </w:rPr>
            </w:pPr>
            <w:r w:rsidRPr="00BC6D6A">
              <w:rPr>
                <w:rFonts w:cs="Times New Roman"/>
              </w:rPr>
              <w:t>3</w:t>
            </w:r>
          </w:p>
        </w:tc>
        <w:tc>
          <w:tcPr>
            <w:tcW w:w="1417" w:type="dxa"/>
            <w:tcBorders>
              <w:top w:val="nil"/>
              <w:left w:val="nil"/>
              <w:bottom w:val="single" w:sz="4" w:space="0" w:color="000000"/>
              <w:right w:val="nil"/>
            </w:tcBorders>
          </w:tcPr>
          <w:p w14:paraId="75694840" w14:textId="77777777" w:rsidR="00B46EE3" w:rsidRPr="00BC6D6A" w:rsidRDefault="00000000">
            <w:pPr>
              <w:jc w:val="center"/>
              <w:rPr>
                <w:rFonts w:cs="Times New Roman"/>
              </w:rPr>
            </w:pPr>
            <w:r w:rsidRPr="00BC6D6A">
              <w:rPr>
                <w:rFonts w:cs="Times New Roman"/>
              </w:rPr>
              <w:t>3,19</w:t>
            </w:r>
          </w:p>
        </w:tc>
      </w:tr>
      <w:tr w:rsidR="00B46EE3" w:rsidRPr="00BC6D6A" w14:paraId="08A35FD9" w14:textId="77777777">
        <w:trPr>
          <w:jc w:val="center"/>
        </w:trPr>
        <w:tc>
          <w:tcPr>
            <w:tcW w:w="1981" w:type="dxa"/>
            <w:tcBorders>
              <w:left w:val="nil"/>
              <w:right w:val="nil"/>
            </w:tcBorders>
          </w:tcPr>
          <w:p w14:paraId="6FDC07E2" w14:textId="77777777" w:rsidR="00B46EE3" w:rsidRPr="00BC6D6A" w:rsidRDefault="00000000">
            <w:pPr>
              <w:rPr>
                <w:rFonts w:cs="Times New Roman"/>
                <w:b/>
              </w:rPr>
            </w:pPr>
            <w:r w:rsidRPr="00BC6D6A">
              <w:rPr>
                <w:rFonts w:cs="Times New Roman"/>
                <w:b/>
              </w:rPr>
              <w:t>Total</w:t>
            </w:r>
          </w:p>
        </w:tc>
        <w:tc>
          <w:tcPr>
            <w:tcW w:w="1982" w:type="dxa"/>
            <w:tcBorders>
              <w:left w:val="nil"/>
              <w:right w:val="nil"/>
            </w:tcBorders>
          </w:tcPr>
          <w:p w14:paraId="67275E23" w14:textId="77777777" w:rsidR="00B46EE3" w:rsidRPr="00BC6D6A" w:rsidRDefault="00B46EE3">
            <w:pPr>
              <w:jc w:val="center"/>
              <w:rPr>
                <w:rFonts w:cs="Times New Roman"/>
                <w:b/>
              </w:rPr>
            </w:pPr>
          </w:p>
        </w:tc>
        <w:tc>
          <w:tcPr>
            <w:tcW w:w="1565" w:type="dxa"/>
            <w:tcBorders>
              <w:left w:val="nil"/>
              <w:right w:val="nil"/>
            </w:tcBorders>
          </w:tcPr>
          <w:p w14:paraId="6C535A6D" w14:textId="77777777" w:rsidR="00B46EE3" w:rsidRPr="00BC6D6A" w:rsidRDefault="00000000">
            <w:pPr>
              <w:jc w:val="center"/>
              <w:rPr>
                <w:rFonts w:cs="Times New Roman"/>
                <w:b/>
              </w:rPr>
            </w:pPr>
            <w:r w:rsidRPr="00BC6D6A">
              <w:rPr>
                <w:rFonts w:cs="Times New Roman"/>
                <w:b/>
              </w:rPr>
              <w:t>94</w:t>
            </w:r>
          </w:p>
        </w:tc>
        <w:tc>
          <w:tcPr>
            <w:tcW w:w="1417" w:type="dxa"/>
            <w:tcBorders>
              <w:left w:val="nil"/>
              <w:right w:val="nil"/>
            </w:tcBorders>
          </w:tcPr>
          <w:p w14:paraId="54C0EF26" w14:textId="77777777" w:rsidR="00B46EE3" w:rsidRPr="00BC6D6A" w:rsidRDefault="00000000">
            <w:pPr>
              <w:jc w:val="center"/>
              <w:rPr>
                <w:rFonts w:cs="Times New Roman"/>
                <w:b/>
              </w:rPr>
            </w:pPr>
            <w:r w:rsidRPr="00BC6D6A">
              <w:rPr>
                <w:rFonts w:cs="Times New Roman"/>
                <w:b/>
              </w:rPr>
              <w:t>100</w:t>
            </w:r>
          </w:p>
        </w:tc>
      </w:tr>
    </w:tbl>
    <w:p w14:paraId="757B4BAC" w14:textId="77777777" w:rsidR="00B46EE3" w:rsidRPr="00BC6D6A" w:rsidRDefault="00000000" w:rsidP="009B64B6">
      <w:pPr>
        <w:spacing w:before="240" w:line="360" w:lineRule="auto"/>
        <w:ind w:firstLine="720"/>
        <w:jc w:val="both"/>
        <w:rPr>
          <w:rFonts w:cs="Times New Roman"/>
          <w:sz w:val="22"/>
          <w:szCs w:val="22"/>
        </w:rPr>
      </w:pPr>
      <w:bookmarkStart w:id="12" w:name="_heading=h.26in1rg" w:colFirst="0" w:colLast="0"/>
      <w:bookmarkEnd w:id="12"/>
      <w:r w:rsidRPr="00BC6D6A">
        <w:rPr>
          <w:rFonts w:cs="Times New Roman"/>
          <w:sz w:val="22"/>
          <w:szCs w:val="22"/>
        </w:rPr>
        <w:t xml:space="preserve">Pada table 4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hasil</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94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w:t>
      </w:r>
      <w:proofErr w:type="spellStart"/>
      <w:r w:rsidRPr="00BC6D6A">
        <w:rPr>
          <w:rFonts w:cs="Times New Roman"/>
          <w:sz w:val="22"/>
          <w:szCs w:val="22"/>
        </w:rPr>
        <w:t>digetif</w:t>
      </w:r>
      <w:proofErr w:type="spellEnd"/>
      <w:r w:rsidRPr="00BC6D6A">
        <w:rPr>
          <w:rFonts w:cs="Times New Roman"/>
          <w:sz w:val="22"/>
          <w:szCs w:val="22"/>
        </w:rPr>
        <w:t xml:space="preserve"> di Rumah Sakit X </w:t>
      </w:r>
      <w:proofErr w:type="spellStart"/>
      <w:r w:rsidRPr="00BC6D6A">
        <w:rPr>
          <w:rFonts w:cs="Times New Roman"/>
          <w:sz w:val="22"/>
          <w:szCs w:val="22"/>
        </w:rPr>
        <w:t>selama</w:t>
      </w:r>
      <w:proofErr w:type="spellEnd"/>
      <w:r w:rsidRPr="00BC6D6A">
        <w:rPr>
          <w:rFonts w:cs="Times New Roman"/>
          <w:sz w:val="22"/>
          <w:szCs w:val="22"/>
        </w:rPr>
        <w:t xml:space="preserve"> </w:t>
      </w:r>
      <w:proofErr w:type="spellStart"/>
      <w:r w:rsidRPr="00BC6D6A">
        <w:rPr>
          <w:rFonts w:cs="Times New Roman"/>
          <w:sz w:val="22"/>
          <w:szCs w:val="22"/>
        </w:rPr>
        <w:t>tahun</w:t>
      </w:r>
      <w:proofErr w:type="spellEnd"/>
      <w:r w:rsidRPr="00BC6D6A">
        <w:rPr>
          <w:rFonts w:cs="Times New Roman"/>
          <w:sz w:val="22"/>
          <w:szCs w:val="22"/>
        </w:rPr>
        <w:t xml:space="preserve"> 2023 </w:t>
      </w:r>
      <w:proofErr w:type="spellStart"/>
      <w:r w:rsidRPr="00BC6D6A">
        <w:rPr>
          <w:rFonts w:cs="Times New Roman"/>
          <w:sz w:val="22"/>
          <w:szCs w:val="22"/>
        </w:rPr>
        <w:t>ada</w:t>
      </w:r>
      <w:proofErr w:type="spellEnd"/>
      <w:r w:rsidRPr="00BC6D6A">
        <w:rPr>
          <w:rFonts w:cs="Times New Roman"/>
          <w:sz w:val="22"/>
          <w:szCs w:val="22"/>
        </w:rPr>
        <w:t xml:space="preserve"> </w:t>
      </w:r>
      <w:proofErr w:type="spellStart"/>
      <w:r w:rsidRPr="00BC6D6A">
        <w:rPr>
          <w:rFonts w:cs="Times New Roman"/>
          <w:sz w:val="22"/>
          <w:szCs w:val="22"/>
        </w:rPr>
        <w:t>beberapa</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i/>
          <w:sz w:val="22"/>
          <w:szCs w:val="22"/>
        </w:rPr>
        <w:t xml:space="preserve"> </w:t>
      </w:r>
      <w:r w:rsidRPr="00BC6D6A">
        <w:rPr>
          <w:rFonts w:cs="Times New Roman"/>
          <w:sz w:val="22"/>
          <w:szCs w:val="22"/>
        </w:rPr>
        <w:t xml:space="preserve">(IV A, II A dan 0)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keseluruhan</w:t>
      </w:r>
      <w:proofErr w:type="spellEnd"/>
      <w:r w:rsidRPr="00BC6D6A">
        <w:rPr>
          <w:rFonts w:cs="Times New Roman"/>
          <w:sz w:val="22"/>
          <w:szCs w:val="22"/>
        </w:rPr>
        <w:t xml:space="preserve"> 13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i/>
          <w:sz w:val="22"/>
          <w:szCs w:val="22"/>
        </w:rPr>
        <w:t xml:space="preserve">. </w:t>
      </w:r>
      <w:r w:rsidRPr="00BC6D6A">
        <w:rPr>
          <w:rFonts w:cs="Times New Roman"/>
          <w:sz w:val="22"/>
          <w:szCs w:val="22"/>
        </w:rPr>
        <w:t xml:space="preserve">Dan yang </w:t>
      </w:r>
      <w:proofErr w:type="spellStart"/>
      <w:r w:rsidRPr="00BC6D6A">
        <w:rPr>
          <w:rFonts w:cs="Times New Roman"/>
          <w:sz w:val="22"/>
          <w:szCs w:val="22"/>
        </w:rPr>
        <w:t>tergolong</w:t>
      </w:r>
      <w:proofErr w:type="spellEnd"/>
      <w:r w:rsidRPr="00BC6D6A">
        <w:rPr>
          <w:rFonts w:cs="Times New Roman"/>
          <w:sz w:val="22"/>
          <w:szCs w:val="22"/>
        </w:rPr>
        <w:t xml:space="preserve"> </w:t>
      </w:r>
      <w:proofErr w:type="spellStart"/>
      <w:r w:rsidRPr="00BC6D6A">
        <w:rPr>
          <w:rFonts w:cs="Times New Roman"/>
          <w:sz w:val="22"/>
          <w:szCs w:val="22"/>
        </w:rPr>
        <w:t>kedalam</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secara</w:t>
      </w:r>
      <w:proofErr w:type="spellEnd"/>
      <w:r w:rsidRPr="00BC6D6A">
        <w:rPr>
          <w:rFonts w:cs="Times New Roman"/>
          <w:sz w:val="22"/>
          <w:szCs w:val="22"/>
        </w:rPr>
        <w:t xml:space="preserve"> </w:t>
      </w:r>
      <w:proofErr w:type="spellStart"/>
      <w:r w:rsidRPr="00BC6D6A">
        <w:rPr>
          <w:rFonts w:cs="Times New Roman"/>
          <w:sz w:val="22"/>
          <w:szCs w:val="22"/>
        </w:rPr>
        <w:t>rasional</w:t>
      </w:r>
      <w:proofErr w:type="spellEnd"/>
      <w:r w:rsidRPr="00BC6D6A">
        <w:rPr>
          <w:rFonts w:cs="Times New Roman"/>
          <w:sz w:val="22"/>
          <w:szCs w:val="22"/>
        </w:rPr>
        <w:t xml:space="preserve"> dan </w:t>
      </w:r>
      <w:proofErr w:type="spellStart"/>
      <w:r w:rsidRPr="00BC6D6A">
        <w:rPr>
          <w:rFonts w:cs="Times New Roman"/>
          <w:sz w:val="22"/>
          <w:szCs w:val="22"/>
        </w:rPr>
        <w:t>masuk</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i/>
          <w:sz w:val="22"/>
          <w:szCs w:val="22"/>
        </w:rPr>
        <w:t xml:space="preserve"> </w:t>
      </w:r>
      <w:r w:rsidRPr="00BC6D6A">
        <w:rPr>
          <w:rFonts w:cs="Times New Roman"/>
          <w:sz w:val="22"/>
          <w:szCs w:val="22"/>
        </w:rPr>
        <w:t>0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tepat</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94,68% </w:t>
      </w:r>
    </w:p>
    <w:p w14:paraId="16130025" w14:textId="04B2A842" w:rsidR="00B46EE3" w:rsidRPr="00BC6D6A" w:rsidRDefault="00000000">
      <w:pPr>
        <w:spacing w:line="360" w:lineRule="auto"/>
        <w:ind w:firstLine="720"/>
        <w:jc w:val="both"/>
        <w:rPr>
          <w:rFonts w:cs="Times New Roman"/>
          <w:sz w:val="22"/>
          <w:szCs w:val="22"/>
        </w:rPr>
      </w:pPr>
      <w:r w:rsidRPr="00BC6D6A">
        <w:rPr>
          <w:rFonts w:cs="Times New Roman"/>
          <w:sz w:val="22"/>
          <w:szCs w:val="22"/>
        </w:rPr>
        <w:t xml:space="preserve">Dari 94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yang </w:t>
      </w:r>
      <w:proofErr w:type="spellStart"/>
      <w:r w:rsidRPr="00BC6D6A">
        <w:rPr>
          <w:rFonts w:cs="Times New Roman"/>
          <w:sz w:val="22"/>
          <w:szCs w:val="22"/>
        </w:rPr>
        <w:t>termasuk</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rasional</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5,32% (</w:t>
      </w:r>
      <w:proofErr w:type="spellStart"/>
      <w:r w:rsidRPr="00BC6D6A">
        <w:rPr>
          <w:rFonts w:cs="Times New Roman"/>
          <w:sz w:val="22"/>
          <w:szCs w:val="22"/>
        </w:rPr>
        <w:t>kategori</w:t>
      </w:r>
      <w:proofErr w:type="spellEnd"/>
      <w:r w:rsidRPr="00BC6D6A">
        <w:rPr>
          <w:rFonts w:cs="Times New Roman"/>
          <w:sz w:val="22"/>
          <w:szCs w:val="22"/>
        </w:rPr>
        <w:t xml:space="preserve"> IV A 2,13% dan </w:t>
      </w:r>
      <w:proofErr w:type="spellStart"/>
      <w:r w:rsidRPr="00BC6D6A">
        <w:rPr>
          <w:rFonts w:cs="Times New Roman"/>
          <w:sz w:val="22"/>
          <w:szCs w:val="22"/>
        </w:rPr>
        <w:t>Kategori</w:t>
      </w:r>
      <w:proofErr w:type="spellEnd"/>
      <w:r w:rsidRPr="00BC6D6A">
        <w:rPr>
          <w:rFonts w:cs="Times New Roman"/>
          <w:sz w:val="22"/>
          <w:szCs w:val="22"/>
        </w:rPr>
        <w:t xml:space="preserve"> II A 3,19%). </w:t>
      </w:r>
      <w:proofErr w:type="spellStart"/>
      <w:r w:rsidRPr="00BC6D6A">
        <w:rPr>
          <w:rFonts w:cs="Times New Roman"/>
          <w:sz w:val="22"/>
          <w:szCs w:val="22"/>
        </w:rPr>
        <w:t>Antibiotik</w:t>
      </w:r>
      <w:proofErr w:type="spellEnd"/>
      <w:r w:rsidRPr="00BC6D6A">
        <w:rPr>
          <w:rFonts w:cs="Times New Roman"/>
          <w:sz w:val="22"/>
          <w:szCs w:val="22"/>
        </w:rPr>
        <w:t xml:space="preserve"> yang </w:t>
      </w:r>
      <w:proofErr w:type="spellStart"/>
      <w:r w:rsidRPr="00BC6D6A">
        <w:rPr>
          <w:rFonts w:cs="Times New Roman"/>
          <w:sz w:val="22"/>
          <w:szCs w:val="22"/>
        </w:rPr>
        <w:t>masuk</w:t>
      </w:r>
      <w:proofErr w:type="spellEnd"/>
      <w:r w:rsidRPr="00BC6D6A">
        <w:rPr>
          <w:rFonts w:cs="Times New Roman"/>
          <w:sz w:val="22"/>
          <w:szCs w:val="22"/>
        </w:rPr>
        <w:t xml:space="preserve"> </w:t>
      </w:r>
      <w:proofErr w:type="spellStart"/>
      <w:r w:rsidRPr="00BC6D6A">
        <w:rPr>
          <w:rFonts w:cs="Times New Roman"/>
          <w:sz w:val="22"/>
          <w:szCs w:val="22"/>
        </w:rPr>
        <w:t>kedalam</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IV A </w:t>
      </w:r>
      <w:proofErr w:type="spellStart"/>
      <w:r w:rsidRPr="00BC6D6A">
        <w:rPr>
          <w:rFonts w:cs="Times New Roman"/>
          <w:sz w:val="22"/>
          <w:szCs w:val="22"/>
        </w:rPr>
        <w:t>artinya</w:t>
      </w:r>
      <w:proofErr w:type="spellEnd"/>
      <w:r w:rsidRPr="00BC6D6A">
        <w:rPr>
          <w:rFonts w:cs="Times New Roman"/>
          <w:sz w:val="22"/>
          <w:szCs w:val="22"/>
        </w:rPr>
        <w:t xml:space="preserve"> </w:t>
      </w:r>
      <w:proofErr w:type="spellStart"/>
      <w:r w:rsidRPr="00BC6D6A">
        <w:rPr>
          <w:rFonts w:cs="Times New Roman"/>
          <w:sz w:val="22"/>
          <w:szCs w:val="22"/>
        </w:rPr>
        <w:t>ada</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lain yang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efektif</w:t>
      </w:r>
      <w:proofErr w:type="spellEnd"/>
      <w:r w:rsidRPr="00BC6D6A">
        <w:rPr>
          <w:rFonts w:cs="Times New Roman"/>
          <w:sz w:val="22"/>
          <w:szCs w:val="22"/>
        </w:rPr>
        <w:t xml:space="preserve">. </w:t>
      </w:r>
      <w:proofErr w:type="spellStart"/>
      <w:r w:rsidRPr="00BC6D6A">
        <w:rPr>
          <w:rFonts w:cs="Times New Roman"/>
          <w:sz w:val="22"/>
          <w:szCs w:val="22"/>
        </w:rPr>
        <w:t>Penilaian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didasarkan</w:t>
      </w:r>
      <w:proofErr w:type="spellEnd"/>
      <w:r w:rsidRPr="00BC6D6A">
        <w:rPr>
          <w:rFonts w:cs="Times New Roman"/>
          <w:sz w:val="22"/>
          <w:szCs w:val="22"/>
        </w:rPr>
        <w:t xml:space="preserve"> pada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atau</w:t>
      </w:r>
      <w:proofErr w:type="spellEnd"/>
      <w:r w:rsidRPr="00BC6D6A">
        <w:rPr>
          <w:rFonts w:cs="Times New Roman"/>
          <w:sz w:val="22"/>
          <w:szCs w:val="22"/>
        </w:rPr>
        <w:t xml:space="preserve"> pathogen yang </w:t>
      </w:r>
      <w:proofErr w:type="spellStart"/>
      <w:r w:rsidRPr="00BC6D6A">
        <w:rPr>
          <w:rFonts w:cs="Times New Roman"/>
          <w:sz w:val="22"/>
          <w:szCs w:val="22"/>
        </w:rPr>
        <w:t>muncul</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yang </w:t>
      </w:r>
      <w:proofErr w:type="spellStart"/>
      <w:r w:rsidRPr="00BC6D6A">
        <w:rPr>
          <w:rFonts w:cs="Times New Roman"/>
          <w:sz w:val="22"/>
          <w:szCs w:val="22"/>
        </w:rPr>
        <w:t>menjadi</w:t>
      </w:r>
      <w:proofErr w:type="spellEnd"/>
      <w:r w:rsidRPr="00BC6D6A">
        <w:rPr>
          <w:rFonts w:cs="Times New Roman"/>
          <w:sz w:val="22"/>
          <w:szCs w:val="22"/>
        </w:rPr>
        <w:t xml:space="preserve"> </w:t>
      </w:r>
      <w:proofErr w:type="spellStart"/>
      <w:r w:rsidRPr="00BC6D6A">
        <w:rPr>
          <w:rFonts w:cs="Times New Roman"/>
          <w:sz w:val="22"/>
          <w:szCs w:val="22"/>
        </w:rPr>
        <w:t>penyebab</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pada </w:t>
      </w:r>
      <w:proofErr w:type="spellStart"/>
      <w:r w:rsidRPr="00BC6D6A">
        <w:rPr>
          <w:rFonts w:cs="Times New Roman"/>
          <w:sz w:val="22"/>
          <w:szCs w:val="22"/>
        </w:rPr>
        <w:t>luka</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ciprofloxacin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w:t>
      </w:r>
      <w:r w:rsidR="00E255CE">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yang </w:t>
      </w:r>
      <w:proofErr w:type="spellStart"/>
      <w:r w:rsidRPr="00BC6D6A">
        <w:rPr>
          <w:rFonts w:cs="Times New Roman"/>
          <w:sz w:val="22"/>
          <w:szCs w:val="22"/>
        </w:rPr>
        <w:t>muncul</w:t>
      </w:r>
      <w:proofErr w:type="spellEnd"/>
      <w:r w:rsidRPr="00BC6D6A">
        <w:rPr>
          <w:rFonts w:cs="Times New Roman"/>
          <w:sz w:val="22"/>
          <w:szCs w:val="22"/>
        </w:rPr>
        <w:t xml:space="preserve"> pada </w:t>
      </w:r>
      <w:proofErr w:type="spellStart"/>
      <w:r w:rsidRPr="00BC6D6A">
        <w:rPr>
          <w:rFonts w:cs="Times New Roman"/>
          <w:sz w:val="22"/>
          <w:szCs w:val="22"/>
        </w:rPr>
        <w:t>saat</w:t>
      </w:r>
      <w:proofErr w:type="spellEnd"/>
      <w:r w:rsidRPr="00BC6D6A">
        <w:rPr>
          <w:rFonts w:cs="Times New Roman"/>
          <w:sz w:val="22"/>
          <w:szCs w:val="22"/>
        </w:rPr>
        <w:t xml:space="preserve"> </w:t>
      </w:r>
      <w:proofErr w:type="spellStart"/>
      <w:r w:rsidRPr="00BC6D6A">
        <w:rPr>
          <w:rFonts w:cs="Times New Roman"/>
          <w:sz w:val="22"/>
          <w:szCs w:val="22"/>
        </w:rPr>
        <w:t>dilakukan</w:t>
      </w:r>
      <w:proofErr w:type="spellEnd"/>
      <w:r w:rsidRPr="00BC6D6A">
        <w:rPr>
          <w:rFonts w:cs="Times New Roman"/>
          <w:sz w:val="22"/>
          <w:szCs w:val="22"/>
        </w:rPr>
        <w:t xml:space="preserve">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yaitu</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gram-</w:t>
      </w:r>
      <w:proofErr w:type="spellStart"/>
      <w:r w:rsidRPr="00BC6D6A">
        <w:rPr>
          <w:rFonts w:cs="Times New Roman"/>
          <w:sz w:val="22"/>
          <w:szCs w:val="22"/>
        </w:rPr>
        <w:t>negatif</w:t>
      </w:r>
      <w:proofErr w:type="spellEnd"/>
      <w:r w:rsidRPr="00BC6D6A">
        <w:rPr>
          <w:rFonts w:cs="Times New Roman"/>
          <w:sz w:val="22"/>
          <w:szCs w:val="22"/>
        </w:rPr>
        <w:t xml:space="preserve"> dan </w:t>
      </w:r>
      <w:proofErr w:type="spellStart"/>
      <w:r w:rsidRPr="00BC6D6A">
        <w:rPr>
          <w:rFonts w:cs="Times New Roman"/>
          <w:sz w:val="22"/>
          <w:szCs w:val="22"/>
        </w:rPr>
        <w:t>anaerob</w:t>
      </w:r>
      <w:proofErr w:type="spellEnd"/>
      <w:r w:rsidRPr="00BC6D6A">
        <w:rPr>
          <w:rFonts w:cs="Times New Roman"/>
          <w:sz w:val="22"/>
          <w:szCs w:val="22"/>
        </w:rPr>
        <w:t xml:space="preserve">, ciprofloxacin </w:t>
      </w:r>
      <w:proofErr w:type="spellStart"/>
      <w:r w:rsidRPr="00BC6D6A">
        <w:rPr>
          <w:rFonts w:cs="Times New Roman"/>
          <w:sz w:val="22"/>
          <w:szCs w:val="22"/>
        </w:rPr>
        <w:t>sebagai</w:t>
      </w:r>
      <w:proofErr w:type="spellEnd"/>
      <w:r w:rsidRPr="00BC6D6A">
        <w:rPr>
          <w:rFonts w:cs="Times New Roman"/>
          <w:sz w:val="22"/>
          <w:szCs w:val="22"/>
        </w:rPr>
        <w:t xml:space="preserve"> </w:t>
      </w:r>
      <w:proofErr w:type="spellStart"/>
      <w:r w:rsidRPr="00BC6D6A">
        <w:rPr>
          <w:rFonts w:cs="Times New Roman"/>
          <w:sz w:val="22"/>
          <w:szCs w:val="22"/>
        </w:rPr>
        <w:t>antibitoik</w:t>
      </w:r>
      <w:proofErr w:type="spellEnd"/>
      <w:r w:rsidRPr="00BC6D6A">
        <w:rPr>
          <w:rFonts w:cs="Times New Roman"/>
          <w:sz w:val="22"/>
          <w:szCs w:val="22"/>
        </w:rPr>
        <w:t xml:space="preserve"> </w:t>
      </w:r>
      <w:proofErr w:type="spellStart"/>
      <w:r w:rsidRPr="00BC6D6A">
        <w:rPr>
          <w:rFonts w:cs="Times New Roman"/>
          <w:sz w:val="22"/>
          <w:szCs w:val="22"/>
        </w:rPr>
        <w:t>berspektrum</w:t>
      </w:r>
      <w:proofErr w:type="spellEnd"/>
      <w:r w:rsidRPr="00BC6D6A">
        <w:rPr>
          <w:rFonts w:cs="Times New Roman"/>
          <w:sz w:val="22"/>
          <w:szCs w:val="22"/>
        </w:rPr>
        <w:t xml:space="preserve"> </w:t>
      </w:r>
      <w:proofErr w:type="spellStart"/>
      <w:r w:rsidRPr="00BC6D6A">
        <w:rPr>
          <w:rFonts w:cs="Times New Roman"/>
          <w:sz w:val="22"/>
          <w:szCs w:val="22"/>
        </w:rPr>
        <w:t>luas</w:t>
      </w:r>
      <w:proofErr w:type="spellEnd"/>
      <w:r w:rsidRPr="00BC6D6A">
        <w:rPr>
          <w:rFonts w:cs="Times New Roman"/>
          <w:sz w:val="22"/>
          <w:szCs w:val="22"/>
        </w:rPr>
        <w:t xml:space="preserve"> yang </w:t>
      </w:r>
      <w:proofErr w:type="spellStart"/>
      <w:r w:rsidRPr="00BC6D6A">
        <w:rPr>
          <w:rFonts w:cs="Times New Roman"/>
          <w:sz w:val="22"/>
          <w:szCs w:val="22"/>
        </w:rPr>
        <w:t>dapat</w:t>
      </w:r>
      <w:proofErr w:type="spellEnd"/>
      <w:r w:rsidRPr="00BC6D6A">
        <w:rPr>
          <w:rFonts w:cs="Times New Roman"/>
          <w:sz w:val="22"/>
          <w:szCs w:val="22"/>
        </w:rPr>
        <w:t xml:space="preserve"> </w:t>
      </w:r>
      <w:proofErr w:type="spellStart"/>
      <w:r w:rsidRPr="00BC6D6A">
        <w:rPr>
          <w:rFonts w:cs="Times New Roman"/>
          <w:sz w:val="22"/>
          <w:szCs w:val="22"/>
        </w:rPr>
        <w:t>melawan</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gram-</w:t>
      </w:r>
      <w:proofErr w:type="spellStart"/>
      <w:r w:rsidRPr="00BC6D6A">
        <w:rPr>
          <w:rFonts w:cs="Times New Roman"/>
          <w:sz w:val="22"/>
          <w:szCs w:val="22"/>
        </w:rPr>
        <w:t>negatif</w:t>
      </w:r>
      <w:proofErr w:type="spellEnd"/>
      <w:r w:rsidRPr="00BC6D6A">
        <w:rPr>
          <w:rFonts w:cs="Times New Roman"/>
          <w:sz w:val="22"/>
          <w:szCs w:val="22"/>
        </w:rPr>
        <w:t xml:space="preserve"> dan </w:t>
      </w:r>
      <w:proofErr w:type="spellStart"/>
      <w:r w:rsidRPr="00BC6D6A">
        <w:rPr>
          <w:rFonts w:cs="Times New Roman"/>
          <w:sz w:val="22"/>
          <w:szCs w:val="22"/>
        </w:rPr>
        <w:t>sebagian</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gram-</w:t>
      </w:r>
      <w:proofErr w:type="spellStart"/>
      <w:r w:rsidRPr="00BC6D6A">
        <w:rPr>
          <w:rFonts w:cs="Times New Roman"/>
          <w:sz w:val="22"/>
          <w:szCs w:val="22"/>
        </w:rPr>
        <w:t>positif</w:t>
      </w:r>
      <w:proofErr w:type="spellEnd"/>
      <w:r w:rsidRPr="00BC6D6A">
        <w:rPr>
          <w:rFonts w:cs="Times New Roman"/>
          <w:sz w:val="22"/>
          <w:szCs w:val="22"/>
        </w:rPr>
        <w:t xml:space="preserve"> </w:t>
      </w:r>
      <w:proofErr w:type="spellStart"/>
      <w:r w:rsidRPr="00BC6D6A">
        <w:rPr>
          <w:rFonts w:cs="Times New Roman"/>
          <w:sz w:val="22"/>
          <w:szCs w:val="22"/>
        </w:rPr>
        <w:t>namun</w:t>
      </w:r>
      <w:proofErr w:type="spellEnd"/>
      <w:r w:rsidRPr="00BC6D6A">
        <w:rPr>
          <w:rFonts w:cs="Times New Roman"/>
          <w:sz w:val="22"/>
          <w:szCs w:val="22"/>
        </w:rPr>
        <w:t xml:space="preserve"> </w:t>
      </w:r>
      <w:proofErr w:type="spellStart"/>
      <w:r w:rsidRPr="00BC6D6A">
        <w:rPr>
          <w:rFonts w:cs="Times New Roman"/>
          <w:sz w:val="22"/>
          <w:szCs w:val="22"/>
        </w:rPr>
        <w:t>jauh</w:t>
      </w:r>
      <w:proofErr w:type="spellEnd"/>
      <w:r w:rsidRPr="00BC6D6A">
        <w:rPr>
          <w:rFonts w:cs="Times New Roman"/>
          <w:sz w:val="22"/>
          <w:szCs w:val="22"/>
        </w:rPr>
        <w:t xml:space="preserve"> </w:t>
      </w:r>
      <w:proofErr w:type="spellStart"/>
      <w:r w:rsidRPr="00BC6D6A">
        <w:rPr>
          <w:rFonts w:cs="Times New Roman"/>
          <w:sz w:val="22"/>
          <w:szCs w:val="22"/>
        </w:rPr>
        <w:t>lebih</w:t>
      </w:r>
      <w:proofErr w:type="spellEnd"/>
      <w:r w:rsidRPr="00BC6D6A">
        <w:rPr>
          <w:rFonts w:cs="Times New Roman"/>
          <w:sz w:val="22"/>
          <w:szCs w:val="22"/>
        </w:rPr>
        <w:t xml:space="preserve"> </w:t>
      </w:r>
      <w:proofErr w:type="spellStart"/>
      <w:r w:rsidRPr="00BC6D6A">
        <w:rPr>
          <w:rFonts w:cs="Times New Roman"/>
          <w:sz w:val="22"/>
          <w:szCs w:val="22"/>
        </w:rPr>
        <w:t>efektif</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sefalosporin</w:t>
      </w:r>
      <w:proofErr w:type="spellEnd"/>
      <w:r w:rsidRPr="00BC6D6A">
        <w:rPr>
          <w:rFonts w:cs="Times New Roman"/>
          <w:sz w:val="22"/>
          <w:szCs w:val="22"/>
        </w:rPr>
        <w:t xml:space="preserve"> </w:t>
      </w:r>
      <w:proofErr w:type="spellStart"/>
      <w:r w:rsidRPr="00BC6D6A">
        <w:rPr>
          <w:rFonts w:cs="Times New Roman"/>
          <w:sz w:val="22"/>
          <w:szCs w:val="22"/>
        </w:rPr>
        <w:t>generasi</w:t>
      </w:r>
      <w:proofErr w:type="spellEnd"/>
      <w:r w:rsidRPr="00BC6D6A">
        <w:rPr>
          <w:rFonts w:cs="Times New Roman"/>
          <w:sz w:val="22"/>
          <w:szCs w:val="22"/>
        </w:rPr>
        <w:t xml:space="preserve"> </w:t>
      </w:r>
      <w:proofErr w:type="spellStart"/>
      <w:r w:rsidRPr="00BC6D6A">
        <w:rPr>
          <w:rFonts w:cs="Times New Roman"/>
          <w:sz w:val="22"/>
          <w:szCs w:val="22"/>
        </w:rPr>
        <w:t>pertama</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melawan</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gram-</w:t>
      </w:r>
      <w:proofErr w:type="spellStart"/>
      <w:r w:rsidRPr="00BC6D6A">
        <w:rPr>
          <w:rFonts w:cs="Times New Roman"/>
          <w:sz w:val="22"/>
          <w:szCs w:val="22"/>
        </w:rPr>
        <w:t>negatif</w:t>
      </w:r>
      <w:proofErr w:type="spellEnd"/>
      <w:r w:rsidRPr="00BC6D6A">
        <w:rPr>
          <w:rFonts w:cs="Times New Roman"/>
          <w:sz w:val="22"/>
          <w:szCs w:val="22"/>
        </w:rPr>
        <w:t xml:space="preserve">. Dan </w:t>
      </w:r>
      <w:proofErr w:type="spellStart"/>
      <w:r w:rsidRPr="00BC6D6A">
        <w:rPr>
          <w:rFonts w:cs="Times New Roman"/>
          <w:sz w:val="22"/>
          <w:szCs w:val="22"/>
        </w:rPr>
        <w:t>menurut</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umum</w:t>
      </w:r>
      <w:proofErr w:type="spellEnd"/>
      <w:r w:rsidRPr="00BC6D6A">
        <w:rPr>
          <w:rFonts w:cs="Times New Roman"/>
          <w:sz w:val="22"/>
          <w:szCs w:val="22"/>
        </w:rPr>
        <w:t xml:space="preserve"> </w:t>
      </w:r>
      <w:r w:rsidRPr="00BC6D6A">
        <w:rPr>
          <w:rFonts w:cs="Times New Roman"/>
          <w:i/>
          <w:sz w:val="22"/>
          <w:szCs w:val="22"/>
        </w:rPr>
        <w:t>Infectious Disease Society of America</w:t>
      </w:r>
      <w:r w:rsidRPr="00BC6D6A">
        <w:rPr>
          <w:rFonts w:cs="Times New Roman"/>
          <w:sz w:val="22"/>
          <w:szCs w:val="22"/>
        </w:rPr>
        <w:t xml:space="preserve"> (IDSA) </w:t>
      </w:r>
      <w:r w:rsidRPr="00BC6D6A">
        <w:rPr>
          <w:rFonts w:cs="Times New Roman"/>
          <w:i/>
          <w:sz w:val="22"/>
          <w:szCs w:val="22"/>
        </w:rPr>
        <w:t xml:space="preserve">Guidelines </w:t>
      </w:r>
      <w:r w:rsidRPr="00BC6D6A">
        <w:rPr>
          <w:rFonts w:cs="Times New Roman"/>
          <w:sz w:val="22"/>
          <w:szCs w:val="22"/>
        </w:rPr>
        <w:t>(</w:t>
      </w:r>
      <w:proofErr w:type="spellStart"/>
      <w:r w:rsidRPr="00BC6D6A">
        <w:rPr>
          <w:rFonts w:cs="Times New Roman"/>
          <w:sz w:val="22"/>
          <w:szCs w:val="22"/>
        </w:rPr>
        <w:t>Bratzler</w:t>
      </w:r>
      <w:proofErr w:type="spellEnd"/>
      <w:r w:rsidRPr="00BC6D6A">
        <w:rPr>
          <w:rFonts w:cs="Times New Roman"/>
          <w:sz w:val="22"/>
          <w:szCs w:val="22"/>
        </w:rPr>
        <w:t xml:space="preserve"> et al., 2013)</w:t>
      </w:r>
      <w:r w:rsidRPr="00BC6D6A">
        <w:rPr>
          <w:rFonts w:cs="Times New Roman"/>
          <w:i/>
          <w:sz w:val="22"/>
          <w:szCs w:val="22"/>
        </w:rPr>
        <w:t xml:space="preserve">, ASHP Therapeutic </w:t>
      </w:r>
      <w:proofErr w:type="gramStart"/>
      <w:r w:rsidRPr="00BC6D6A">
        <w:rPr>
          <w:rFonts w:cs="Times New Roman"/>
          <w:i/>
          <w:sz w:val="22"/>
          <w:szCs w:val="22"/>
        </w:rPr>
        <w:t>Guidelines</w:t>
      </w:r>
      <w:r w:rsidR="00E255CE">
        <w:rPr>
          <w:rFonts w:cs="Times New Roman"/>
          <w:i/>
          <w:sz w:val="22"/>
          <w:szCs w:val="22"/>
        </w:rPr>
        <w:t xml:space="preserve"> </w:t>
      </w:r>
      <w:r w:rsidRPr="00BC6D6A">
        <w:rPr>
          <w:rFonts w:cs="Times New Roman"/>
          <w:i/>
          <w:sz w:val="22"/>
          <w:szCs w:val="22"/>
        </w:rPr>
        <w:t>:</w:t>
      </w:r>
      <w:proofErr w:type="gramEnd"/>
      <w:r w:rsidRPr="00BC6D6A">
        <w:rPr>
          <w:rFonts w:cs="Times New Roman"/>
          <w:i/>
          <w:sz w:val="22"/>
          <w:szCs w:val="22"/>
        </w:rPr>
        <w:t xml:space="preserve"> Clinical Practise Guidelines for Antimicrobial Prophylaxis </w:t>
      </w:r>
      <w:proofErr w:type="spellStart"/>
      <w:r w:rsidRPr="00BC6D6A">
        <w:rPr>
          <w:rFonts w:cs="Times New Roman"/>
          <w:i/>
          <w:sz w:val="22"/>
          <w:szCs w:val="22"/>
        </w:rPr>
        <w:t>ini</w:t>
      </w:r>
      <w:proofErr w:type="spellEnd"/>
      <w:r w:rsidRPr="00BC6D6A">
        <w:rPr>
          <w:rFonts w:cs="Times New Roman"/>
          <w:i/>
          <w:sz w:val="22"/>
          <w:szCs w:val="22"/>
        </w:rPr>
        <w:t xml:space="preserve"> Surgery </w:t>
      </w:r>
      <w:r w:rsidRPr="00BC6D6A">
        <w:rPr>
          <w:rFonts w:cs="Times New Roman"/>
          <w:sz w:val="22"/>
          <w:szCs w:val="22"/>
        </w:rPr>
        <w:t>(ASHP, 2013)</w:t>
      </w:r>
      <w:r w:rsidRPr="00BC6D6A">
        <w:rPr>
          <w:rFonts w:cs="Times New Roman"/>
          <w:i/>
          <w:sz w:val="22"/>
          <w:szCs w:val="22"/>
        </w:rPr>
        <w:t xml:space="preserve"> </w:t>
      </w:r>
      <w:r w:rsidRPr="00BC6D6A">
        <w:rPr>
          <w:rFonts w:cs="Times New Roman"/>
          <w:sz w:val="22"/>
          <w:szCs w:val="22"/>
        </w:rPr>
        <w:t xml:space="preserve">Ciprofloxacin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alternatif</w:t>
      </w:r>
      <w:proofErr w:type="spellEnd"/>
      <w:r w:rsidRPr="00BC6D6A">
        <w:rPr>
          <w:rFonts w:cs="Times New Roman"/>
          <w:sz w:val="22"/>
          <w:szCs w:val="22"/>
        </w:rPr>
        <w:t xml:space="preserve"> </w:t>
      </w:r>
      <w:proofErr w:type="spellStart"/>
      <w:r w:rsidRPr="00BC6D6A">
        <w:rPr>
          <w:rFonts w:cs="Times New Roman"/>
          <w:sz w:val="22"/>
          <w:szCs w:val="22"/>
        </w:rPr>
        <w:t>bagi</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alergi</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β-</w:t>
      </w:r>
      <w:proofErr w:type="spellStart"/>
      <w:r w:rsidRPr="00BC6D6A">
        <w:rPr>
          <w:rFonts w:cs="Times New Roman"/>
          <w:sz w:val="22"/>
          <w:szCs w:val="22"/>
        </w:rPr>
        <w:t>laktam</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dikombinasikan</w:t>
      </w:r>
      <w:proofErr w:type="spellEnd"/>
      <w:r w:rsidRPr="00BC6D6A">
        <w:rPr>
          <w:rFonts w:cs="Times New Roman"/>
          <w:sz w:val="22"/>
          <w:szCs w:val="22"/>
        </w:rPr>
        <w:t xml:space="preserve"> </w:t>
      </w:r>
      <w:proofErr w:type="spellStart"/>
      <w:r w:rsidRPr="00BC6D6A">
        <w:rPr>
          <w:rFonts w:cs="Times New Roman"/>
          <w:sz w:val="22"/>
          <w:szCs w:val="22"/>
        </w:rPr>
        <w:t>bersama</w:t>
      </w:r>
      <w:proofErr w:type="spellEnd"/>
      <w:r w:rsidRPr="00BC6D6A">
        <w:rPr>
          <w:rFonts w:cs="Times New Roman"/>
          <w:sz w:val="22"/>
          <w:szCs w:val="22"/>
        </w:rPr>
        <w:t xml:space="preserve"> metronidazole. </w:t>
      </w:r>
    </w:p>
    <w:p w14:paraId="71F94C40" w14:textId="3BDCCD5F" w:rsidR="00B46EE3" w:rsidRPr="00BC6D6A" w:rsidRDefault="00000000">
      <w:pPr>
        <w:spacing w:line="360" w:lineRule="auto"/>
        <w:ind w:firstLine="720"/>
        <w:jc w:val="both"/>
        <w:rPr>
          <w:rFonts w:cs="Times New Roman"/>
          <w:sz w:val="22"/>
          <w:szCs w:val="22"/>
        </w:rPr>
      </w:pPr>
      <w:r w:rsidRPr="00BC6D6A">
        <w:rPr>
          <w:rFonts w:cs="Times New Roman"/>
          <w:sz w:val="22"/>
          <w:szCs w:val="22"/>
        </w:rPr>
        <w:t xml:space="preserve">Dari </w:t>
      </w:r>
      <w:proofErr w:type="spellStart"/>
      <w:r w:rsidRPr="00BC6D6A">
        <w:rPr>
          <w:rFonts w:cs="Times New Roman"/>
          <w:sz w:val="22"/>
          <w:szCs w:val="22"/>
        </w:rPr>
        <w:t>sisi</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obat</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yang </w:t>
      </w:r>
      <w:proofErr w:type="spellStart"/>
      <w:r w:rsidRPr="00BC6D6A">
        <w:rPr>
          <w:rFonts w:cs="Times New Roman"/>
          <w:sz w:val="22"/>
          <w:szCs w:val="22"/>
        </w:rPr>
        <w:t>masuk</w:t>
      </w:r>
      <w:proofErr w:type="spellEnd"/>
      <w:r w:rsidRPr="00BC6D6A">
        <w:rPr>
          <w:rFonts w:cs="Times New Roman"/>
          <w:sz w:val="22"/>
          <w:szCs w:val="22"/>
        </w:rPr>
        <w:t xml:space="preserve"> </w:t>
      </w:r>
      <w:proofErr w:type="spellStart"/>
      <w:r w:rsidRPr="00BC6D6A">
        <w:rPr>
          <w:rFonts w:cs="Times New Roman"/>
          <w:sz w:val="22"/>
          <w:szCs w:val="22"/>
        </w:rPr>
        <w:t>kedalam</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II A </w:t>
      </w:r>
      <w:proofErr w:type="spellStart"/>
      <w:r w:rsidRPr="00BC6D6A">
        <w:rPr>
          <w:rFonts w:cs="Times New Roman"/>
          <w:sz w:val="22"/>
          <w:szCs w:val="22"/>
        </w:rPr>
        <w:t>artinya</w:t>
      </w:r>
      <w:proofErr w:type="spellEnd"/>
      <w:r w:rsidRPr="00BC6D6A">
        <w:rPr>
          <w:rFonts w:cs="Times New Roman"/>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dalam</w:t>
      </w:r>
      <w:proofErr w:type="spellEnd"/>
      <w:r w:rsidRPr="00BC6D6A">
        <w:rPr>
          <w:rFonts w:cs="Times New Roman"/>
          <w:sz w:val="22"/>
          <w:szCs w:val="22"/>
        </w:rPr>
        <w:t xml:space="preserve"> </w:t>
      </w:r>
      <w:proofErr w:type="spellStart"/>
      <w:r w:rsidRPr="00BC6D6A">
        <w:rPr>
          <w:rFonts w:cs="Times New Roman"/>
          <w:sz w:val="22"/>
          <w:szCs w:val="22"/>
        </w:rPr>
        <w:t>kasus</w:t>
      </w:r>
      <w:proofErr w:type="spellEnd"/>
      <w:r w:rsidRPr="00BC6D6A">
        <w:rPr>
          <w:rFonts w:cs="Times New Roman"/>
          <w:sz w:val="22"/>
          <w:szCs w:val="22"/>
        </w:rPr>
        <w:t xml:space="preserve"> </w:t>
      </w:r>
      <w:proofErr w:type="spellStart"/>
      <w:r w:rsidRPr="00BC6D6A">
        <w:rPr>
          <w:rFonts w:cs="Times New Roman"/>
          <w:sz w:val="22"/>
          <w:szCs w:val="22"/>
        </w:rPr>
        <w:t>tersebut</w:t>
      </w:r>
      <w:proofErr w:type="spellEnd"/>
      <w:r w:rsidRPr="00BC6D6A">
        <w:rPr>
          <w:rFonts w:cs="Times New Roman"/>
          <w:sz w:val="22"/>
          <w:szCs w:val="22"/>
        </w:rPr>
        <w:t xml:space="preserve"> </w:t>
      </w:r>
      <w:proofErr w:type="spellStart"/>
      <w:r w:rsidRPr="00BC6D6A">
        <w:rPr>
          <w:rFonts w:cs="Times New Roman"/>
          <w:sz w:val="22"/>
          <w:szCs w:val="22"/>
        </w:rPr>
        <w:t>terdapat</w:t>
      </w:r>
      <w:proofErr w:type="spellEnd"/>
      <w:r w:rsidRPr="00BC6D6A">
        <w:rPr>
          <w:rFonts w:cs="Times New Roman"/>
          <w:sz w:val="22"/>
          <w:szCs w:val="22"/>
        </w:rPr>
        <w:t xml:space="preserve"> </w:t>
      </w:r>
      <w:proofErr w:type="spellStart"/>
      <w:r w:rsidRPr="00BC6D6A">
        <w:rPr>
          <w:rFonts w:cs="Times New Roman"/>
          <w:sz w:val="22"/>
          <w:szCs w:val="22"/>
        </w:rPr>
        <w:t>ketidak-tepatan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obat</w:t>
      </w:r>
      <w:proofErr w:type="spellEnd"/>
      <w:r w:rsidRPr="00BC6D6A">
        <w:rPr>
          <w:rFonts w:cs="Times New Roman"/>
          <w:sz w:val="22"/>
          <w:szCs w:val="22"/>
        </w:rPr>
        <w:t xml:space="preserve"> yang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yang </w:t>
      </w:r>
      <w:proofErr w:type="spellStart"/>
      <w:r w:rsidRPr="00BC6D6A">
        <w:rPr>
          <w:rFonts w:cs="Times New Roman"/>
          <w:sz w:val="22"/>
          <w:szCs w:val="22"/>
        </w:rPr>
        <w:t>telah</w:t>
      </w:r>
      <w:proofErr w:type="spellEnd"/>
      <w:r w:rsidRPr="00BC6D6A">
        <w:rPr>
          <w:rFonts w:cs="Times New Roman"/>
          <w:sz w:val="22"/>
          <w:szCs w:val="22"/>
        </w:rPr>
        <w:t xml:space="preserve"> </w:t>
      </w:r>
      <w:proofErr w:type="spellStart"/>
      <w:r w:rsidRPr="00BC6D6A">
        <w:rPr>
          <w:rFonts w:cs="Times New Roman"/>
          <w:sz w:val="22"/>
          <w:szCs w:val="22"/>
        </w:rPr>
        <w:t>direkomendasikan</w:t>
      </w:r>
      <w:proofErr w:type="spellEnd"/>
      <w:r w:rsidRPr="00BC6D6A">
        <w:rPr>
          <w:rFonts w:cs="Times New Roman"/>
          <w:sz w:val="22"/>
          <w:szCs w:val="22"/>
        </w:rPr>
        <w:t xml:space="preserve">. Pada </w:t>
      </w:r>
      <w:proofErr w:type="spellStart"/>
      <w:r w:rsidRPr="00BC6D6A">
        <w:rPr>
          <w:rFonts w:cs="Times New Roman"/>
          <w:sz w:val="22"/>
          <w:szCs w:val="22"/>
        </w:rPr>
        <w:t>penelitian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ditemukan</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yang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w:t>
      </w:r>
      <w:proofErr w:type="gramStart"/>
      <w:r w:rsidRPr="00BC6D6A">
        <w:rPr>
          <w:rFonts w:cs="Times New Roman"/>
          <w:sz w:val="22"/>
          <w:szCs w:val="22"/>
        </w:rPr>
        <w:t>1 gram</w:t>
      </w:r>
      <w:proofErr w:type="gram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anak</w:t>
      </w:r>
      <w:proofErr w:type="spellEnd"/>
      <w:r w:rsidRPr="00BC6D6A">
        <w:rPr>
          <w:rFonts w:cs="Times New Roman"/>
          <w:sz w:val="22"/>
          <w:szCs w:val="22"/>
        </w:rPr>
        <w:t xml:space="preserve"> </w:t>
      </w:r>
      <w:proofErr w:type="spellStart"/>
      <w:r w:rsidRPr="00BC6D6A">
        <w:rPr>
          <w:rFonts w:cs="Times New Roman"/>
          <w:sz w:val="22"/>
          <w:szCs w:val="22"/>
        </w:rPr>
        <w:t>dibawah</w:t>
      </w:r>
      <w:proofErr w:type="spellEnd"/>
      <w:r w:rsidRPr="00BC6D6A">
        <w:rPr>
          <w:rFonts w:cs="Times New Roman"/>
          <w:sz w:val="22"/>
          <w:szCs w:val="22"/>
        </w:rPr>
        <w:t xml:space="preserve"> </w:t>
      </w:r>
      <w:proofErr w:type="spellStart"/>
      <w:r w:rsidRPr="00BC6D6A">
        <w:rPr>
          <w:rFonts w:cs="Times New Roman"/>
          <w:sz w:val="22"/>
          <w:szCs w:val="22"/>
        </w:rPr>
        <w:t>usia</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Penilaian</w:t>
      </w:r>
      <w:proofErr w:type="spellEnd"/>
      <w:r w:rsidRPr="00BC6D6A">
        <w:rPr>
          <w:rFonts w:cs="Times New Roman"/>
          <w:sz w:val="22"/>
          <w:szCs w:val="22"/>
        </w:rPr>
        <w:t xml:space="preserve"> </w:t>
      </w:r>
      <w:proofErr w:type="spellStart"/>
      <w:r w:rsidRPr="00BC6D6A">
        <w:rPr>
          <w:rFonts w:cs="Times New Roman"/>
          <w:sz w:val="22"/>
          <w:szCs w:val="22"/>
        </w:rPr>
        <w:t>ini</w:t>
      </w:r>
      <w:proofErr w:type="spellEnd"/>
      <w:r w:rsidRPr="00BC6D6A">
        <w:rPr>
          <w:rFonts w:cs="Times New Roman"/>
          <w:sz w:val="22"/>
          <w:szCs w:val="22"/>
        </w:rPr>
        <w:t xml:space="preserve"> </w:t>
      </w:r>
      <w:proofErr w:type="spellStart"/>
      <w:r w:rsidRPr="00BC6D6A">
        <w:rPr>
          <w:rFonts w:cs="Times New Roman"/>
          <w:sz w:val="22"/>
          <w:szCs w:val="22"/>
        </w:rPr>
        <w:t>didasarkan</w:t>
      </w:r>
      <w:proofErr w:type="spellEnd"/>
      <w:r w:rsidRPr="00BC6D6A">
        <w:rPr>
          <w:rFonts w:cs="Times New Roman"/>
          <w:sz w:val="22"/>
          <w:szCs w:val="22"/>
        </w:rPr>
        <w:t xml:space="preserve"> pada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umum</w:t>
      </w:r>
      <w:proofErr w:type="spellEnd"/>
      <w:r w:rsidRPr="00BC6D6A">
        <w:rPr>
          <w:rFonts w:cs="Times New Roman"/>
          <w:sz w:val="22"/>
          <w:szCs w:val="22"/>
        </w:rPr>
        <w:t xml:space="preserve"> </w:t>
      </w:r>
      <w:r w:rsidRPr="00BC6D6A">
        <w:rPr>
          <w:rFonts w:cs="Times New Roman"/>
          <w:i/>
          <w:sz w:val="22"/>
          <w:szCs w:val="22"/>
        </w:rPr>
        <w:t>Infectious Disease Society of America</w:t>
      </w:r>
      <w:r w:rsidRPr="00BC6D6A">
        <w:rPr>
          <w:rFonts w:cs="Times New Roman"/>
          <w:sz w:val="22"/>
          <w:szCs w:val="22"/>
        </w:rPr>
        <w:t xml:space="preserve"> (IDSA) </w:t>
      </w:r>
      <w:r w:rsidRPr="00BC6D6A">
        <w:rPr>
          <w:rFonts w:cs="Times New Roman"/>
          <w:i/>
          <w:sz w:val="22"/>
          <w:szCs w:val="22"/>
        </w:rPr>
        <w:t xml:space="preserve">Guidelines </w:t>
      </w:r>
      <w:r w:rsidRPr="00BC6D6A">
        <w:rPr>
          <w:rFonts w:cs="Times New Roman"/>
          <w:sz w:val="22"/>
          <w:szCs w:val="22"/>
        </w:rPr>
        <w:t>(</w:t>
      </w:r>
      <w:proofErr w:type="spellStart"/>
      <w:r w:rsidRPr="00BC6D6A">
        <w:rPr>
          <w:rFonts w:cs="Times New Roman"/>
          <w:sz w:val="22"/>
          <w:szCs w:val="22"/>
        </w:rPr>
        <w:t>Bratzler</w:t>
      </w:r>
      <w:proofErr w:type="spellEnd"/>
      <w:r w:rsidRPr="00BC6D6A">
        <w:rPr>
          <w:rFonts w:cs="Times New Roman"/>
          <w:sz w:val="22"/>
          <w:szCs w:val="22"/>
        </w:rPr>
        <w:t xml:space="preserve"> et al., 2013)</w:t>
      </w:r>
      <w:r w:rsidRPr="00BC6D6A">
        <w:rPr>
          <w:rFonts w:cs="Times New Roman"/>
          <w:i/>
          <w:sz w:val="22"/>
          <w:szCs w:val="22"/>
        </w:rPr>
        <w:t xml:space="preserve">, ASHP Therapeutic </w:t>
      </w:r>
      <w:proofErr w:type="gramStart"/>
      <w:r w:rsidRPr="00BC6D6A">
        <w:rPr>
          <w:rFonts w:cs="Times New Roman"/>
          <w:i/>
          <w:sz w:val="22"/>
          <w:szCs w:val="22"/>
        </w:rPr>
        <w:t>Guidelines</w:t>
      </w:r>
      <w:r w:rsidR="00E255CE">
        <w:rPr>
          <w:rFonts w:cs="Times New Roman"/>
          <w:i/>
          <w:sz w:val="22"/>
          <w:szCs w:val="22"/>
        </w:rPr>
        <w:t xml:space="preserve"> </w:t>
      </w:r>
      <w:r w:rsidRPr="00BC6D6A">
        <w:rPr>
          <w:rFonts w:cs="Times New Roman"/>
          <w:i/>
          <w:sz w:val="22"/>
          <w:szCs w:val="22"/>
        </w:rPr>
        <w:t>:</w:t>
      </w:r>
      <w:proofErr w:type="gramEnd"/>
      <w:r w:rsidRPr="00BC6D6A">
        <w:rPr>
          <w:rFonts w:cs="Times New Roman"/>
          <w:i/>
          <w:sz w:val="22"/>
          <w:szCs w:val="22"/>
        </w:rPr>
        <w:t xml:space="preserve"> Clinical Practise Guidelines for Antimicrobial Prophylaxis </w:t>
      </w:r>
      <w:proofErr w:type="spellStart"/>
      <w:r w:rsidRPr="00BC6D6A">
        <w:rPr>
          <w:rFonts w:cs="Times New Roman"/>
          <w:i/>
          <w:sz w:val="22"/>
          <w:szCs w:val="22"/>
        </w:rPr>
        <w:t>ini</w:t>
      </w:r>
      <w:proofErr w:type="spellEnd"/>
      <w:r w:rsidRPr="00BC6D6A">
        <w:rPr>
          <w:rFonts w:cs="Times New Roman"/>
          <w:i/>
          <w:sz w:val="22"/>
          <w:szCs w:val="22"/>
        </w:rPr>
        <w:t xml:space="preserve"> Surgery </w:t>
      </w:r>
      <w:r w:rsidRPr="00BC6D6A">
        <w:rPr>
          <w:rFonts w:cs="Times New Roman"/>
          <w:sz w:val="22"/>
          <w:szCs w:val="22"/>
        </w:rPr>
        <w:t>(ASHP, 2013)</w:t>
      </w:r>
      <w:r w:rsidRPr="00BC6D6A">
        <w:rPr>
          <w:rFonts w:cs="Times New Roman"/>
          <w:i/>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w:t>
      </w:r>
      <w:r w:rsidRPr="00BC6D6A">
        <w:rPr>
          <w:rFonts w:cs="Times New Roman"/>
          <w:sz w:val="22"/>
          <w:szCs w:val="22"/>
        </w:rPr>
        <w:lastRenderedPageBreak/>
        <w:t xml:space="preserve">ceftriaxone yang </w:t>
      </w:r>
      <w:proofErr w:type="spellStart"/>
      <w:r w:rsidRPr="00BC6D6A">
        <w:rPr>
          <w:rFonts w:cs="Times New Roman"/>
          <w:sz w:val="22"/>
          <w:szCs w:val="22"/>
        </w:rPr>
        <w:t>dianjurkan</w:t>
      </w:r>
      <w:proofErr w:type="spellEnd"/>
      <w:r w:rsidRPr="00BC6D6A">
        <w:rPr>
          <w:rFonts w:cs="Times New Roman"/>
          <w:sz w:val="22"/>
          <w:szCs w:val="22"/>
        </w:rPr>
        <w:t xml:space="preserve">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w:t>
      </w:r>
      <w:proofErr w:type="spellStart"/>
      <w:r w:rsidRPr="00BC6D6A">
        <w:rPr>
          <w:rFonts w:cs="Times New Roman"/>
          <w:sz w:val="22"/>
          <w:szCs w:val="22"/>
        </w:rPr>
        <w:t>berusia</w:t>
      </w:r>
      <w:proofErr w:type="spellEnd"/>
      <w:r w:rsidRPr="00BC6D6A">
        <w:rPr>
          <w:rFonts w:cs="Times New Roman"/>
          <w:sz w:val="22"/>
          <w:szCs w:val="22"/>
        </w:rPr>
        <w:t xml:space="preserve"> di </w:t>
      </w:r>
      <w:proofErr w:type="spellStart"/>
      <w:r w:rsidRPr="00BC6D6A">
        <w:rPr>
          <w:rFonts w:cs="Times New Roman"/>
          <w:sz w:val="22"/>
          <w:szCs w:val="22"/>
        </w:rPr>
        <w:t>bawah</w:t>
      </w:r>
      <w:proofErr w:type="spellEnd"/>
      <w:r w:rsidRPr="00BC6D6A">
        <w:rPr>
          <w:rFonts w:cs="Times New Roman"/>
          <w:sz w:val="22"/>
          <w:szCs w:val="22"/>
        </w:rPr>
        <w:t xml:space="preserve"> 12 </w:t>
      </w:r>
      <w:proofErr w:type="spellStart"/>
      <w:r w:rsidRPr="00BC6D6A">
        <w:rPr>
          <w:rFonts w:cs="Times New Roman"/>
          <w:sz w:val="22"/>
          <w:szCs w:val="22"/>
        </w:rPr>
        <w:t>tahun</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menghitung</w:t>
      </w:r>
      <w:proofErr w:type="spellEnd"/>
      <w:r w:rsidRPr="00BC6D6A">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BB </w:t>
      </w:r>
      <w:proofErr w:type="spellStart"/>
      <w:r w:rsidRPr="00BC6D6A">
        <w:rPr>
          <w:rFonts w:cs="Times New Roman"/>
          <w:sz w:val="22"/>
          <w:szCs w:val="22"/>
        </w:rPr>
        <w:t>yaitu</w:t>
      </w:r>
      <w:proofErr w:type="spellEnd"/>
      <w:r w:rsidRPr="00BC6D6A">
        <w:rPr>
          <w:rFonts w:cs="Times New Roman"/>
          <w:sz w:val="22"/>
          <w:szCs w:val="22"/>
        </w:rPr>
        <w:t xml:space="preserve"> 50-75 mg/kg dan </w:t>
      </w:r>
      <w:proofErr w:type="spellStart"/>
      <w:r w:rsidRPr="00BC6D6A">
        <w:rPr>
          <w:rFonts w:cs="Times New Roman"/>
          <w:sz w:val="22"/>
          <w:szCs w:val="22"/>
        </w:rPr>
        <w:t>untuk</w:t>
      </w:r>
      <w:proofErr w:type="spellEnd"/>
      <w:r w:rsidRPr="00BC6D6A">
        <w:rPr>
          <w:rFonts w:cs="Times New Roman"/>
          <w:sz w:val="22"/>
          <w:szCs w:val="22"/>
        </w:rPr>
        <w:t xml:space="preserve"> </w:t>
      </w:r>
      <w:proofErr w:type="spellStart"/>
      <w:r w:rsidRPr="00BC6D6A">
        <w:rPr>
          <w:rFonts w:cs="Times New Roman"/>
          <w:sz w:val="22"/>
          <w:szCs w:val="22"/>
        </w:rPr>
        <w:t>anak-anak</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BB 50 kg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dosis</w:t>
      </w:r>
      <w:proofErr w:type="spellEnd"/>
      <w:r w:rsidRPr="00BC6D6A">
        <w:rPr>
          <w:rFonts w:cs="Times New Roman"/>
          <w:sz w:val="22"/>
          <w:szCs w:val="22"/>
        </w:rPr>
        <w:t xml:space="preserve"> 1 gram.</w:t>
      </w:r>
    </w:p>
    <w:p w14:paraId="03EF3807" w14:textId="77777777" w:rsidR="00B46EE3" w:rsidRPr="00BC6D6A" w:rsidRDefault="00000000">
      <w:pPr>
        <w:spacing w:before="240" w:line="288" w:lineRule="auto"/>
        <w:jc w:val="both"/>
        <w:rPr>
          <w:rFonts w:cs="Times New Roman"/>
          <w:b/>
          <w:sz w:val="22"/>
          <w:szCs w:val="22"/>
        </w:rPr>
      </w:pPr>
      <w:r w:rsidRPr="00BC6D6A">
        <w:rPr>
          <w:rFonts w:cs="Times New Roman"/>
          <w:b/>
          <w:sz w:val="22"/>
          <w:szCs w:val="22"/>
        </w:rPr>
        <w:t xml:space="preserve">SIMPULAN </w:t>
      </w:r>
    </w:p>
    <w:p w14:paraId="73F3D248" w14:textId="69C35452" w:rsidR="00B46EE3" w:rsidRPr="00E255CE" w:rsidRDefault="00000000" w:rsidP="00E255CE">
      <w:pPr>
        <w:spacing w:line="360" w:lineRule="auto"/>
        <w:ind w:firstLine="426"/>
        <w:jc w:val="both"/>
        <w:rPr>
          <w:rFonts w:cs="Times New Roman"/>
          <w:sz w:val="22"/>
          <w:szCs w:val="22"/>
        </w:rPr>
      </w:pPr>
      <w:bookmarkStart w:id="13" w:name="_heading=h.lnxbz9" w:colFirst="0" w:colLast="0"/>
      <w:bookmarkEnd w:id="13"/>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hasil</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penelitian</w:t>
      </w:r>
      <w:proofErr w:type="spellEnd"/>
      <w:r w:rsidRPr="00BC6D6A">
        <w:rPr>
          <w:rFonts w:cs="Times New Roman"/>
          <w:sz w:val="22"/>
          <w:szCs w:val="22"/>
        </w:rPr>
        <w:t xml:space="preserve"> di </w:t>
      </w:r>
      <w:proofErr w:type="spellStart"/>
      <w:r w:rsidRPr="00BC6D6A">
        <w:rPr>
          <w:rFonts w:cs="Times New Roman"/>
          <w:sz w:val="22"/>
          <w:szCs w:val="22"/>
        </w:rPr>
        <w:t>atas</w:t>
      </w:r>
      <w:proofErr w:type="spellEnd"/>
      <w:r w:rsidRPr="00BC6D6A">
        <w:rPr>
          <w:rFonts w:cs="Times New Roman"/>
          <w:sz w:val="22"/>
          <w:szCs w:val="22"/>
        </w:rPr>
        <w:t xml:space="preserve"> </w:t>
      </w:r>
      <w:proofErr w:type="spellStart"/>
      <w:r w:rsidRPr="00BC6D6A">
        <w:rPr>
          <w:rFonts w:cs="Times New Roman"/>
          <w:sz w:val="22"/>
          <w:szCs w:val="22"/>
        </w:rPr>
        <w:t>dapat</w:t>
      </w:r>
      <w:proofErr w:type="spellEnd"/>
      <w:r w:rsidRPr="00BC6D6A">
        <w:rPr>
          <w:rFonts w:cs="Times New Roman"/>
          <w:sz w:val="22"/>
          <w:szCs w:val="22"/>
        </w:rPr>
        <w:t xml:space="preserve"> </w:t>
      </w:r>
      <w:proofErr w:type="spellStart"/>
      <w:r w:rsidRPr="00BC6D6A">
        <w:rPr>
          <w:rFonts w:cs="Times New Roman"/>
          <w:sz w:val="22"/>
          <w:szCs w:val="22"/>
        </w:rPr>
        <w:t>disimpulkan</w:t>
      </w:r>
      <w:proofErr w:type="spellEnd"/>
      <w:r w:rsidRPr="00BC6D6A">
        <w:rPr>
          <w:rFonts w:cs="Times New Roman"/>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di Rumah Sakit X </w:t>
      </w:r>
      <w:proofErr w:type="spellStart"/>
      <w:r w:rsidRPr="00BC6D6A">
        <w:rPr>
          <w:rFonts w:cs="Times New Roman"/>
          <w:sz w:val="22"/>
          <w:szCs w:val="22"/>
        </w:rPr>
        <w:t>Tasikmalaya</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94 </w:t>
      </w:r>
      <w:proofErr w:type="spellStart"/>
      <w:r w:rsidRPr="00BC6D6A">
        <w:rPr>
          <w:rFonts w:cs="Times New Roman"/>
          <w:sz w:val="22"/>
          <w:szCs w:val="22"/>
        </w:rPr>
        <w:t>pasien</w:t>
      </w:r>
      <w:proofErr w:type="spellEnd"/>
      <w:r w:rsidRPr="00BC6D6A">
        <w:rPr>
          <w:rFonts w:cs="Times New Roman"/>
          <w:sz w:val="22"/>
          <w:szCs w:val="22"/>
        </w:rPr>
        <w:t xml:space="preserve"> yang </w:t>
      </w:r>
      <w:proofErr w:type="spellStart"/>
      <w:r w:rsidRPr="00BC6D6A">
        <w:rPr>
          <w:rFonts w:cs="Times New Roman"/>
          <w:sz w:val="22"/>
          <w:szCs w:val="22"/>
        </w:rPr>
        <w:t>memenuhi</w:t>
      </w:r>
      <w:proofErr w:type="spellEnd"/>
      <w:r w:rsidRPr="00BC6D6A">
        <w:rPr>
          <w:rFonts w:cs="Times New Roman"/>
          <w:sz w:val="22"/>
          <w:szCs w:val="22"/>
        </w:rPr>
        <w:t xml:space="preserve"> </w:t>
      </w:r>
      <w:proofErr w:type="spellStart"/>
      <w:r w:rsidRPr="00BC6D6A">
        <w:rPr>
          <w:rFonts w:cs="Times New Roman"/>
          <w:sz w:val="22"/>
          <w:szCs w:val="22"/>
        </w:rPr>
        <w:t>kriteria</w:t>
      </w:r>
      <w:proofErr w:type="spellEnd"/>
      <w:r w:rsidRPr="00BC6D6A">
        <w:rPr>
          <w:rFonts w:cs="Times New Roman"/>
          <w:sz w:val="22"/>
          <w:szCs w:val="22"/>
        </w:rPr>
        <w:t xml:space="preserve"> </w:t>
      </w:r>
      <w:proofErr w:type="spellStart"/>
      <w:r w:rsidRPr="00BC6D6A">
        <w:rPr>
          <w:rFonts w:cs="Times New Roman"/>
          <w:sz w:val="22"/>
          <w:szCs w:val="22"/>
        </w:rPr>
        <w:t>inklusi</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yang paling </w:t>
      </w:r>
      <w:proofErr w:type="spellStart"/>
      <w:r w:rsidRPr="00BC6D6A">
        <w:rPr>
          <w:rFonts w:cs="Times New Roman"/>
          <w:sz w:val="22"/>
          <w:szCs w:val="22"/>
        </w:rPr>
        <w:t>banyak</w:t>
      </w:r>
      <w:proofErr w:type="spellEnd"/>
      <w:r w:rsidRPr="00BC6D6A">
        <w:rPr>
          <w:rFonts w:cs="Times New Roman"/>
          <w:sz w:val="22"/>
          <w:szCs w:val="22"/>
        </w:rPr>
        <w:t xml:space="preserve"> </w:t>
      </w:r>
      <w:proofErr w:type="spellStart"/>
      <w:r w:rsidRPr="00BC6D6A">
        <w:rPr>
          <w:rFonts w:cs="Times New Roman"/>
          <w:sz w:val="22"/>
          <w:szCs w:val="22"/>
        </w:rPr>
        <w:t>digunakan</w:t>
      </w:r>
      <w:proofErr w:type="spellEnd"/>
      <w:r w:rsidRPr="00BC6D6A">
        <w:rPr>
          <w:rFonts w:cs="Times New Roman"/>
          <w:sz w:val="22"/>
          <w:szCs w:val="22"/>
        </w:rPr>
        <w:t xml:space="preserve"> </w:t>
      </w:r>
      <w:proofErr w:type="spellStart"/>
      <w:r w:rsidRPr="00BC6D6A">
        <w:rPr>
          <w:rFonts w:cs="Times New Roman"/>
          <w:sz w:val="22"/>
          <w:szCs w:val="22"/>
        </w:rPr>
        <w:t>adalah</w:t>
      </w:r>
      <w:proofErr w:type="spellEnd"/>
      <w:r w:rsidRPr="00BC6D6A">
        <w:rPr>
          <w:rFonts w:cs="Times New Roman"/>
          <w:sz w:val="22"/>
          <w:szCs w:val="22"/>
        </w:rPr>
        <w:t xml:space="preserve"> ceftriaxone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jumlah</w:t>
      </w:r>
      <w:proofErr w:type="spellEnd"/>
      <w:r w:rsidRPr="00BC6D6A">
        <w:rPr>
          <w:rFonts w:cs="Times New Roman"/>
          <w:sz w:val="22"/>
          <w:szCs w:val="22"/>
        </w:rPr>
        <w:t xml:space="preserve"> yang </w:t>
      </w:r>
      <w:proofErr w:type="spellStart"/>
      <w:r w:rsidRPr="00BC6D6A">
        <w:rPr>
          <w:rFonts w:cs="Times New Roman"/>
          <w:sz w:val="22"/>
          <w:szCs w:val="22"/>
        </w:rPr>
        <w:t>diberikan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92 </w:t>
      </w:r>
      <w:proofErr w:type="spellStart"/>
      <w:r w:rsidRPr="00BC6D6A">
        <w:rPr>
          <w:rFonts w:cs="Times New Roman"/>
          <w:sz w:val="22"/>
          <w:szCs w:val="22"/>
        </w:rPr>
        <w:t>pasien</w:t>
      </w:r>
      <w:proofErr w:type="spellEnd"/>
      <w:r w:rsidRPr="00BC6D6A">
        <w:rPr>
          <w:rFonts w:cs="Times New Roman"/>
          <w:sz w:val="22"/>
          <w:szCs w:val="22"/>
        </w:rPr>
        <w:t xml:space="preserve"> (97,87%) dan </w:t>
      </w:r>
      <w:proofErr w:type="spellStart"/>
      <w:r w:rsidRPr="00BC6D6A">
        <w:rPr>
          <w:rFonts w:cs="Times New Roman"/>
          <w:sz w:val="22"/>
          <w:szCs w:val="22"/>
        </w:rPr>
        <w:t>ciprofloxaxin</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2 </w:t>
      </w:r>
      <w:proofErr w:type="spellStart"/>
      <w:r w:rsidRPr="00BC6D6A">
        <w:rPr>
          <w:rFonts w:cs="Times New Roman"/>
          <w:sz w:val="22"/>
          <w:szCs w:val="22"/>
        </w:rPr>
        <w:t>pasien</w:t>
      </w:r>
      <w:proofErr w:type="spellEnd"/>
      <w:r w:rsidRPr="00BC6D6A">
        <w:rPr>
          <w:rFonts w:cs="Times New Roman"/>
          <w:sz w:val="22"/>
          <w:szCs w:val="22"/>
        </w:rPr>
        <w:t xml:space="preserve"> (2,13%) yang </w:t>
      </w:r>
      <w:proofErr w:type="spellStart"/>
      <w:r w:rsidRPr="00BC6D6A">
        <w:rPr>
          <w:rFonts w:cs="Times New Roman"/>
          <w:sz w:val="22"/>
          <w:szCs w:val="22"/>
        </w:rPr>
        <w:t>menunjukan</w:t>
      </w:r>
      <w:proofErr w:type="spellEnd"/>
      <w:r w:rsidRPr="00BC6D6A">
        <w:rPr>
          <w:rFonts w:cs="Times New Roman"/>
          <w:sz w:val="22"/>
          <w:szCs w:val="22"/>
        </w:rPr>
        <w:t xml:space="preserve"> </w:t>
      </w:r>
      <w:proofErr w:type="spellStart"/>
      <w:r w:rsidRPr="00BC6D6A">
        <w:rPr>
          <w:rFonts w:cs="Times New Roman"/>
          <w:sz w:val="22"/>
          <w:szCs w:val="22"/>
        </w:rPr>
        <w:t>bahwa</w:t>
      </w:r>
      <w:proofErr w:type="spellEnd"/>
      <w:r w:rsidRPr="00BC6D6A">
        <w:rPr>
          <w:rFonts w:cs="Times New Roman"/>
          <w:sz w:val="22"/>
          <w:szCs w:val="22"/>
        </w:rPr>
        <w:t xml:space="preserve"> </w:t>
      </w:r>
      <w:proofErr w:type="spellStart"/>
      <w:r w:rsidRPr="00BC6D6A">
        <w:rPr>
          <w:rFonts w:cs="Times New Roman"/>
          <w:sz w:val="22"/>
          <w:szCs w:val="22"/>
        </w:rPr>
        <w:t>pemilihan</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belum</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umum</w:t>
      </w:r>
      <w:proofErr w:type="spellEnd"/>
      <w:r w:rsidRPr="00BC6D6A">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rute</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waktu</w:t>
      </w:r>
      <w:proofErr w:type="spellEnd"/>
      <w:r w:rsidRPr="00BC6D6A">
        <w:rPr>
          <w:rFonts w:cs="Times New Roman"/>
          <w:sz w:val="22"/>
          <w:szCs w:val="22"/>
        </w:rPr>
        <w:t xml:space="preserve"> dan </w:t>
      </w:r>
      <w:proofErr w:type="spellStart"/>
      <w:r w:rsidRPr="00BC6D6A">
        <w:rPr>
          <w:rFonts w:cs="Times New Roman"/>
          <w:sz w:val="22"/>
          <w:szCs w:val="22"/>
        </w:rPr>
        <w:t>dosis</w:t>
      </w:r>
      <w:proofErr w:type="spellEnd"/>
      <w:r w:rsidRPr="00BC6D6A">
        <w:rPr>
          <w:rFonts w:cs="Times New Roman"/>
          <w:sz w:val="22"/>
          <w:szCs w:val="22"/>
        </w:rPr>
        <w:t xml:space="preserve"> </w:t>
      </w:r>
      <w:proofErr w:type="spellStart"/>
      <w:r w:rsidRPr="00BC6D6A">
        <w:rPr>
          <w:rFonts w:cs="Times New Roman"/>
          <w:sz w:val="22"/>
          <w:szCs w:val="22"/>
        </w:rPr>
        <w:t>pemberian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 </w:t>
      </w:r>
      <w:proofErr w:type="spellStart"/>
      <w:r w:rsidRPr="00BC6D6A">
        <w:rPr>
          <w:rFonts w:cs="Times New Roman"/>
          <w:sz w:val="22"/>
          <w:szCs w:val="22"/>
        </w:rPr>
        <w:t>sudah</w:t>
      </w:r>
      <w:proofErr w:type="spellEnd"/>
      <w:r w:rsidRPr="00BC6D6A">
        <w:rPr>
          <w:rFonts w:cs="Times New Roman"/>
          <w:sz w:val="22"/>
          <w:szCs w:val="22"/>
        </w:rPr>
        <w:t xml:space="preserve"> </w:t>
      </w:r>
      <w:proofErr w:type="spellStart"/>
      <w:r w:rsidRPr="00BC6D6A">
        <w:rPr>
          <w:rFonts w:cs="Times New Roman"/>
          <w:sz w:val="22"/>
          <w:szCs w:val="22"/>
        </w:rPr>
        <w:t>sesuai</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proofErr w:type="gramStart"/>
      <w:r w:rsidRPr="00BC6D6A">
        <w:rPr>
          <w:rFonts w:cs="Times New Roman"/>
          <w:sz w:val="22"/>
          <w:szCs w:val="22"/>
        </w:rPr>
        <w:t>umum</w:t>
      </w:r>
      <w:proofErr w:type="spellEnd"/>
      <w:r w:rsidRPr="00BC6D6A">
        <w:rPr>
          <w:rFonts w:cs="Times New Roman"/>
          <w:sz w:val="22"/>
          <w:szCs w:val="22"/>
        </w:rPr>
        <w:t>..</w:t>
      </w:r>
      <w:proofErr w:type="gramEnd"/>
      <w:r w:rsidRPr="00BC6D6A">
        <w:rPr>
          <w:rFonts w:cs="Times New Roman"/>
          <w:sz w:val="22"/>
          <w:szCs w:val="22"/>
        </w:rPr>
        <w:t xml:space="preserve"> </w:t>
      </w:r>
      <w:proofErr w:type="spellStart"/>
      <w:r w:rsidRPr="00BC6D6A">
        <w:rPr>
          <w:rFonts w:cs="Times New Roman"/>
          <w:sz w:val="22"/>
          <w:szCs w:val="22"/>
        </w:rPr>
        <w:t>Kualitas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berdasarkan</w:t>
      </w:r>
      <w:proofErr w:type="spellEnd"/>
      <w:r w:rsidRPr="00BC6D6A">
        <w:rPr>
          <w:rFonts w:cs="Times New Roman"/>
          <w:sz w:val="22"/>
          <w:szCs w:val="22"/>
        </w:rPr>
        <w:t xml:space="preserve"> </w:t>
      </w:r>
      <w:proofErr w:type="spellStart"/>
      <w:r w:rsidRPr="00BC6D6A">
        <w:rPr>
          <w:rFonts w:cs="Times New Roman"/>
          <w:sz w:val="22"/>
          <w:szCs w:val="22"/>
        </w:rPr>
        <w:t>metode</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sz w:val="22"/>
          <w:szCs w:val="22"/>
        </w:rPr>
        <w:t xml:space="preserve"> </w:t>
      </w:r>
      <w:proofErr w:type="spellStart"/>
      <w:r w:rsidRPr="00BC6D6A">
        <w:rPr>
          <w:rFonts w:cs="Times New Roman"/>
          <w:sz w:val="22"/>
          <w:szCs w:val="22"/>
        </w:rPr>
        <w:t>dari</w:t>
      </w:r>
      <w:proofErr w:type="spellEnd"/>
      <w:r w:rsidRPr="00BC6D6A">
        <w:rPr>
          <w:rFonts w:cs="Times New Roman"/>
          <w:sz w:val="22"/>
          <w:szCs w:val="22"/>
        </w:rPr>
        <w:t xml:space="preserve"> </w:t>
      </w:r>
      <w:proofErr w:type="spellStart"/>
      <w:r w:rsidRPr="00BC6D6A">
        <w:rPr>
          <w:rFonts w:cs="Times New Roman"/>
          <w:sz w:val="22"/>
          <w:szCs w:val="22"/>
        </w:rPr>
        <w:t>keseluruhan</w:t>
      </w:r>
      <w:proofErr w:type="spellEnd"/>
      <w:r w:rsidRPr="00BC6D6A">
        <w:rPr>
          <w:rFonts w:cs="Times New Roman"/>
          <w:sz w:val="22"/>
          <w:szCs w:val="22"/>
        </w:rPr>
        <w:t xml:space="preserve"> </w:t>
      </w:r>
      <w:proofErr w:type="spellStart"/>
      <w:r w:rsidRPr="00BC6D6A">
        <w:rPr>
          <w:rFonts w:cs="Times New Roman"/>
          <w:sz w:val="22"/>
          <w:szCs w:val="22"/>
        </w:rPr>
        <w:t>kasus</w:t>
      </w:r>
      <w:proofErr w:type="spellEnd"/>
      <w:r w:rsidRPr="00BC6D6A">
        <w:rPr>
          <w:rFonts w:cs="Times New Roman"/>
          <w:sz w:val="22"/>
          <w:szCs w:val="22"/>
        </w:rPr>
        <w:t xml:space="preserve"> (n=94)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rasional</w:t>
      </w:r>
      <w:proofErr w:type="spellEnd"/>
      <w:r w:rsidRPr="00BC6D6A">
        <w:rPr>
          <w:rFonts w:cs="Times New Roman"/>
          <w:sz w:val="22"/>
          <w:szCs w:val="22"/>
        </w:rPr>
        <w:t xml:space="preserve"> </w:t>
      </w:r>
      <w:proofErr w:type="spellStart"/>
      <w:r w:rsidRPr="00BC6D6A">
        <w:rPr>
          <w:rFonts w:cs="Times New Roman"/>
          <w:sz w:val="22"/>
          <w:szCs w:val="22"/>
        </w:rPr>
        <w:t>sebanyak</w:t>
      </w:r>
      <w:proofErr w:type="spellEnd"/>
      <w:r w:rsidRPr="00BC6D6A">
        <w:rPr>
          <w:rFonts w:cs="Times New Roman"/>
          <w:sz w:val="22"/>
          <w:szCs w:val="22"/>
        </w:rPr>
        <w:t xml:space="preserve"> 89 </w:t>
      </w:r>
      <w:proofErr w:type="spellStart"/>
      <w:r w:rsidRPr="00BC6D6A">
        <w:rPr>
          <w:rFonts w:cs="Times New Roman"/>
          <w:sz w:val="22"/>
          <w:szCs w:val="22"/>
        </w:rPr>
        <w:t>kasus</w:t>
      </w:r>
      <w:proofErr w:type="spellEnd"/>
      <w:r w:rsidRPr="00BC6D6A">
        <w:rPr>
          <w:rFonts w:cs="Times New Roman"/>
          <w:sz w:val="22"/>
          <w:szCs w:val="22"/>
        </w:rPr>
        <w:t xml:space="preserve"> (94,7%)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sz w:val="22"/>
          <w:szCs w:val="22"/>
        </w:rPr>
        <w:t xml:space="preserve"> 0, dan 5,32 %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tidak</w:t>
      </w:r>
      <w:proofErr w:type="spellEnd"/>
      <w:r w:rsidRPr="00BC6D6A">
        <w:rPr>
          <w:rFonts w:cs="Times New Roman"/>
          <w:sz w:val="22"/>
          <w:szCs w:val="22"/>
        </w:rPr>
        <w:t xml:space="preserve"> </w:t>
      </w:r>
      <w:proofErr w:type="spellStart"/>
      <w:r w:rsidRPr="00BC6D6A">
        <w:rPr>
          <w:rFonts w:cs="Times New Roman"/>
          <w:sz w:val="22"/>
          <w:szCs w:val="22"/>
        </w:rPr>
        <w:t>rasional</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w:t>
      </w:r>
      <w:proofErr w:type="spellStart"/>
      <w:r w:rsidRPr="00BC6D6A">
        <w:rPr>
          <w:rFonts w:cs="Times New Roman"/>
          <w:sz w:val="22"/>
          <w:szCs w:val="22"/>
        </w:rPr>
        <w:t>kategori</w:t>
      </w:r>
      <w:proofErr w:type="spellEnd"/>
      <w:r w:rsidRPr="00BC6D6A">
        <w:rPr>
          <w:rFonts w:cs="Times New Roman"/>
          <w:sz w:val="22"/>
          <w:szCs w:val="22"/>
        </w:rPr>
        <w:t xml:space="preserve"> </w:t>
      </w:r>
      <w:proofErr w:type="spellStart"/>
      <w:r w:rsidRPr="00BC6D6A">
        <w:rPr>
          <w:rFonts w:cs="Times New Roman"/>
          <w:i/>
          <w:sz w:val="22"/>
          <w:szCs w:val="22"/>
        </w:rPr>
        <w:t>Gyssens</w:t>
      </w:r>
      <w:proofErr w:type="spellEnd"/>
      <w:r w:rsidRPr="00BC6D6A">
        <w:rPr>
          <w:rFonts w:cs="Times New Roman"/>
          <w:sz w:val="22"/>
          <w:szCs w:val="22"/>
        </w:rPr>
        <w:t xml:space="preserve"> IV A </w:t>
      </w:r>
      <w:proofErr w:type="spellStart"/>
      <w:r w:rsidRPr="00BC6D6A">
        <w:rPr>
          <w:rFonts w:cs="Times New Roman"/>
          <w:sz w:val="22"/>
          <w:szCs w:val="22"/>
        </w:rPr>
        <w:t>sebanyak</w:t>
      </w:r>
      <w:proofErr w:type="spellEnd"/>
      <w:r w:rsidRPr="00BC6D6A">
        <w:rPr>
          <w:rFonts w:cs="Times New Roman"/>
          <w:sz w:val="22"/>
          <w:szCs w:val="22"/>
        </w:rPr>
        <w:t xml:space="preserve"> 2 </w:t>
      </w:r>
      <w:proofErr w:type="spellStart"/>
      <w:r w:rsidRPr="00BC6D6A">
        <w:rPr>
          <w:rFonts w:cs="Times New Roman"/>
          <w:sz w:val="22"/>
          <w:szCs w:val="22"/>
        </w:rPr>
        <w:t>kasus</w:t>
      </w:r>
      <w:proofErr w:type="spellEnd"/>
      <w:r w:rsidRPr="00BC6D6A">
        <w:rPr>
          <w:rFonts w:cs="Times New Roman"/>
          <w:sz w:val="22"/>
          <w:szCs w:val="22"/>
        </w:rPr>
        <w:t xml:space="preserve"> (2,13%) dan II A </w:t>
      </w:r>
      <w:proofErr w:type="spellStart"/>
      <w:r w:rsidRPr="00BC6D6A">
        <w:rPr>
          <w:rFonts w:cs="Times New Roman"/>
          <w:sz w:val="22"/>
          <w:szCs w:val="22"/>
        </w:rPr>
        <w:t>sebanyak</w:t>
      </w:r>
      <w:proofErr w:type="spellEnd"/>
      <w:r w:rsidRPr="00BC6D6A">
        <w:rPr>
          <w:rFonts w:cs="Times New Roman"/>
          <w:sz w:val="22"/>
          <w:szCs w:val="22"/>
        </w:rPr>
        <w:t xml:space="preserve"> 3 </w:t>
      </w:r>
      <w:proofErr w:type="spellStart"/>
      <w:r w:rsidRPr="00BC6D6A">
        <w:rPr>
          <w:rFonts w:cs="Times New Roman"/>
          <w:sz w:val="22"/>
          <w:szCs w:val="22"/>
        </w:rPr>
        <w:t>kasus</w:t>
      </w:r>
      <w:proofErr w:type="spellEnd"/>
      <w:r w:rsidRPr="00BC6D6A">
        <w:rPr>
          <w:rFonts w:cs="Times New Roman"/>
          <w:sz w:val="22"/>
          <w:szCs w:val="22"/>
        </w:rPr>
        <w:t xml:space="preserve"> (3,19%). Jenis </w:t>
      </w:r>
      <w:proofErr w:type="spellStart"/>
      <w:r w:rsidRPr="00BC6D6A">
        <w:rPr>
          <w:rFonts w:cs="Times New Roman"/>
          <w:sz w:val="22"/>
          <w:szCs w:val="22"/>
        </w:rPr>
        <w:t>operasi</w:t>
      </w:r>
      <w:proofErr w:type="spellEnd"/>
      <w:r w:rsidRPr="00BC6D6A">
        <w:rPr>
          <w:rFonts w:cs="Times New Roman"/>
          <w:sz w:val="22"/>
          <w:szCs w:val="22"/>
        </w:rPr>
        <w:t xml:space="preserve"> </w:t>
      </w:r>
      <w:proofErr w:type="spellStart"/>
      <w:r w:rsidRPr="00BC6D6A">
        <w:rPr>
          <w:rFonts w:cs="Times New Roman"/>
          <w:sz w:val="22"/>
          <w:szCs w:val="22"/>
        </w:rPr>
        <w:t>mempunyai</w:t>
      </w:r>
      <w:proofErr w:type="spellEnd"/>
      <w:r w:rsidRPr="00BC6D6A">
        <w:rPr>
          <w:rFonts w:cs="Times New Roman"/>
          <w:sz w:val="22"/>
          <w:szCs w:val="22"/>
        </w:rPr>
        <w:t xml:space="preserve"> </w:t>
      </w:r>
      <w:proofErr w:type="spellStart"/>
      <w:r w:rsidRPr="00BC6D6A">
        <w:rPr>
          <w:rFonts w:cs="Times New Roman"/>
          <w:sz w:val="22"/>
          <w:szCs w:val="22"/>
        </w:rPr>
        <w:t>hubungan</w:t>
      </w:r>
      <w:proofErr w:type="spellEnd"/>
      <w:r w:rsidRPr="00BC6D6A">
        <w:rPr>
          <w:rFonts w:cs="Times New Roman"/>
          <w:sz w:val="22"/>
          <w:szCs w:val="22"/>
        </w:rPr>
        <w:t xml:space="preserve"> </w:t>
      </w:r>
      <w:proofErr w:type="spellStart"/>
      <w:r w:rsidRPr="00BC6D6A">
        <w:rPr>
          <w:rFonts w:cs="Times New Roman"/>
          <w:sz w:val="22"/>
          <w:szCs w:val="22"/>
        </w:rPr>
        <w:t>bermakna</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pemilihan</w:t>
      </w:r>
      <w:proofErr w:type="spellEnd"/>
      <w:r w:rsidRPr="00BC6D6A">
        <w:rPr>
          <w:rFonts w:cs="Times New Roman"/>
          <w:sz w:val="22"/>
          <w:szCs w:val="22"/>
        </w:rPr>
        <w:t xml:space="preserve"> </w:t>
      </w:r>
      <w:proofErr w:type="spellStart"/>
      <w:r w:rsidRPr="00BC6D6A">
        <w:rPr>
          <w:rFonts w:cs="Times New Roman"/>
          <w:sz w:val="22"/>
          <w:szCs w:val="22"/>
        </w:rPr>
        <w:t>jenis</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(p&lt;0,05). </w:t>
      </w:r>
    </w:p>
    <w:p w14:paraId="6BD6F93B" w14:textId="77777777" w:rsidR="00B46EE3" w:rsidRPr="00BC6D6A" w:rsidRDefault="00000000" w:rsidP="00E255CE">
      <w:pPr>
        <w:spacing w:before="240" w:line="288" w:lineRule="auto"/>
        <w:jc w:val="both"/>
        <w:rPr>
          <w:rFonts w:cs="Times New Roman"/>
          <w:b/>
          <w:sz w:val="22"/>
          <w:szCs w:val="22"/>
        </w:rPr>
      </w:pPr>
      <w:r w:rsidRPr="00BC6D6A">
        <w:rPr>
          <w:rFonts w:cs="Times New Roman"/>
          <w:b/>
          <w:sz w:val="22"/>
          <w:szCs w:val="22"/>
        </w:rPr>
        <w:t>LIMITASI</w:t>
      </w:r>
    </w:p>
    <w:p w14:paraId="58D098A2" w14:textId="6A8245BD" w:rsidR="00B46EE3" w:rsidRPr="00E255CE" w:rsidRDefault="00000000">
      <w:pPr>
        <w:spacing w:line="288" w:lineRule="auto"/>
        <w:jc w:val="both"/>
        <w:rPr>
          <w:rFonts w:cs="Times New Roman"/>
          <w:sz w:val="22"/>
          <w:szCs w:val="22"/>
        </w:rPr>
      </w:pPr>
      <w:r w:rsidRPr="00BC6D6A">
        <w:rPr>
          <w:rFonts w:cs="Times New Roman"/>
          <w:b/>
          <w:sz w:val="22"/>
          <w:szCs w:val="22"/>
        </w:rPr>
        <w:tab/>
      </w:r>
      <w:proofErr w:type="spellStart"/>
      <w:r w:rsidRPr="00BC6D6A">
        <w:rPr>
          <w:rFonts w:cs="Times New Roman"/>
          <w:sz w:val="22"/>
          <w:szCs w:val="22"/>
        </w:rPr>
        <w:t>Keterbatasan</w:t>
      </w:r>
      <w:proofErr w:type="spellEnd"/>
      <w:r w:rsidRPr="00BC6D6A">
        <w:rPr>
          <w:rFonts w:cs="Times New Roman"/>
          <w:sz w:val="22"/>
          <w:szCs w:val="22"/>
        </w:rPr>
        <w:t xml:space="preserve"> </w:t>
      </w:r>
      <w:proofErr w:type="spellStart"/>
      <w:r w:rsidRPr="00BC6D6A">
        <w:rPr>
          <w:rFonts w:cs="Times New Roman"/>
          <w:sz w:val="22"/>
          <w:szCs w:val="22"/>
        </w:rPr>
        <w:t>informasi</w:t>
      </w:r>
      <w:proofErr w:type="spellEnd"/>
      <w:r w:rsidRPr="00BC6D6A">
        <w:rPr>
          <w:rFonts w:cs="Times New Roman"/>
          <w:sz w:val="22"/>
          <w:szCs w:val="22"/>
        </w:rPr>
        <w:t xml:space="preserve"> </w:t>
      </w:r>
      <w:proofErr w:type="spellStart"/>
      <w:r w:rsidRPr="00BC6D6A">
        <w:rPr>
          <w:rFonts w:cs="Times New Roman"/>
          <w:sz w:val="22"/>
          <w:szCs w:val="22"/>
        </w:rPr>
        <w:t>mengenai</w:t>
      </w:r>
      <w:proofErr w:type="spellEnd"/>
      <w:r w:rsidRPr="00BC6D6A">
        <w:rPr>
          <w:rFonts w:cs="Times New Roman"/>
          <w:sz w:val="22"/>
          <w:szCs w:val="22"/>
        </w:rPr>
        <w:t xml:space="preserve"> data </w:t>
      </w:r>
      <w:proofErr w:type="spellStart"/>
      <w:r w:rsidRPr="00BC6D6A">
        <w:rPr>
          <w:rFonts w:cs="Times New Roman"/>
          <w:sz w:val="22"/>
          <w:szCs w:val="22"/>
        </w:rPr>
        <w:t>empiris</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w:t>
      </w:r>
      <w:proofErr w:type="spellStart"/>
      <w:r w:rsidRPr="00BC6D6A">
        <w:rPr>
          <w:rFonts w:cs="Times New Roman"/>
          <w:sz w:val="22"/>
          <w:szCs w:val="22"/>
        </w:rPr>
        <w:t>pasien</w:t>
      </w:r>
      <w:proofErr w:type="spellEnd"/>
      <w:r w:rsidRPr="00BC6D6A">
        <w:rPr>
          <w:rFonts w:cs="Times New Roman"/>
          <w:sz w:val="22"/>
          <w:szCs w:val="22"/>
        </w:rPr>
        <w:t xml:space="preserve"> </w:t>
      </w:r>
      <w:proofErr w:type="spellStart"/>
      <w:r w:rsidRPr="00BC6D6A">
        <w:rPr>
          <w:rFonts w:cs="Times New Roman"/>
          <w:sz w:val="22"/>
          <w:szCs w:val="22"/>
        </w:rPr>
        <w:t>bedah</w:t>
      </w:r>
      <w:proofErr w:type="spellEnd"/>
      <w:r w:rsidRPr="00BC6D6A">
        <w:rPr>
          <w:rFonts w:cs="Times New Roman"/>
          <w:sz w:val="22"/>
          <w:szCs w:val="22"/>
        </w:rPr>
        <w:t xml:space="preserve"> digestif.</w:t>
      </w:r>
    </w:p>
    <w:p w14:paraId="557C61C2" w14:textId="77777777" w:rsidR="00B46EE3" w:rsidRPr="00BC6D6A" w:rsidRDefault="00000000" w:rsidP="00E255CE">
      <w:pPr>
        <w:spacing w:before="240" w:line="288" w:lineRule="auto"/>
        <w:jc w:val="both"/>
        <w:rPr>
          <w:rFonts w:cs="Times New Roman"/>
          <w:b/>
          <w:sz w:val="22"/>
          <w:szCs w:val="22"/>
        </w:rPr>
      </w:pPr>
      <w:r w:rsidRPr="00BC6D6A">
        <w:rPr>
          <w:rFonts w:cs="Times New Roman"/>
          <w:b/>
          <w:sz w:val="22"/>
          <w:szCs w:val="22"/>
        </w:rPr>
        <w:t>REFERENSI</w:t>
      </w:r>
    </w:p>
    <w:p w14:paraId="1FBF2054"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Amelia, K., &amp; Komar, H. (2019). Kajian Pola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Hubunganya</w:t>
      </w:r>
      <w:proofErr w:type="spellEnd"/>
      <w:r w:rsidRPr="00BC6D6A">
        <w:rPr>
          <w:rFonts w:cs="Times New Roman"/>
          <w:sz w:val="22"/>
          <w:szCs w:val="22"/>
        </w:rPr>
        <w:t xml:space="preserve"> </w:t>
      </w:r>
      <w:proofErr w:type="spellStart"/>
      <w:r w:rsidRPr="00BC6D6A">
        <w:rPr>
          <w:rFonts w:cs="Times New Roman"/>
          <w:sz w:val="22"/>
          <w:szCs w:val="22"/>
        </w:rPr>
        <w:t>dengan</w:t>
      </w:r>
      <w:proofErr w:type="spellEnd"/>
      <w:r w:rsidRPr="00BC6D6A">
        <w:rPr>
          <w:rFonts w:cs="Times New Roman"/>
          <w:sz w:val="22"/>
          <w:szCs w:val="22"/>
        </w:rPr>
        <w:t xml:space="preserve"> Angka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Daerah </w:t>
      </w:r>
      <w:proofErr w:type="spellStart"/>
      <w:r w:rsidRPr="00BC6D6A">
        <w:rPr>
          <w:rFonts w:cs="Times New Roman"/>
          <w:sz w:val="22"/>
          <w:szCs w:val="22"/>
        </w:rPr>
        <w:t>Operasi</w:t>
      </w:r>
      <w:proofErr w:type="spellEnd"/>
      <w:r w:rsidRPr="00BC6D6A">
        <w:rPr>
          <w:rFonts w:cs="Times New Roman"/>
          <w:sz w:val="22"/>
          <w:szCs w:val="22"/>
        </w:rPr>
        <w:t xml:space="preserve"> (IDO) pada Pasien Bedah Digestif. </w:t>
      </w:r>
      <w:proofErr w:type="spellStart"/>
      <w:r w:rsidRPr="00BC6D6A">
        <w:rPr>
          <w:rFonts w:cs="Times New Roman"/>
          <w:i/>
          <w:sz w:val="22"/>
          <w:szCs w:val="22"/>
        </w:rPr>
        <w:t>Jurnal</w:t>
      </w:r>
      <w:proofErr w:type="spellEnd"/>
      <w:r w:rsidRPr="00BC6D6A">
        <w:rPr>
          <w:rFonts w:cs="Times New Roman"/>
          <w:i/>
          <w:sz w:val="22"/>
          <w:szCs w:val="22"/>
        </w:rPr>
        <w:t xml:space="preserve"> Sains Farmasi &amp; </w:t>
      </w:r>
      <w:proofErr w:type="spellStart"/>
      <w:r w:rsidRPr="00BC6D6A">
        <w:rPr>
          <w:rFonts w:cs="Times New Roman"/>
          <w:i/>
          <w:sz w:val="22"/>
          <w:szCs w:val="22"/>
        </w:rPr>
        <w:t>Klinis</w:t>
      </w:r>
      <w:proofErr w:type="spellEnd"/>
      <w:r w:rsidRPr="00BC6D6A">
        <w:rPr>
          <w:rFonts w:cs="Times New Roman"/>
          <w:sz w:val="22"/>
          <w:szCs w:val="22"/>
        </w:rPr>
        <w:t xml:space="preserve">, </w:t>
      </w:r>
      <w:r w:rsidRPr="00BC6D6A">
        <w:rPr>
          <w:rFonts w:cs="Times New Roman"/>
          <w:i/>
          <w:sz w:val="22"/>
          <w:szCs w:val="22"/>
        </w:rPr>
        <w:t>6</w:t>
      </w:r>
      <w:r w:rsidRPr="00BC6D6A">
        <w:rPr>
          <w:rFonts w:cs="Times New Roman"/>
          <w:sz w:val="22"/>
          <w:szCs w:val="22"/>
        </w:rPr>
        <w:t>(3), 186. https://doi.org/10.25077/jsfk.6.3.186-190.2019</w:t>
      </w:r>
    </w:p>
    <w:p w14:paraId="0247E99F"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American </w:t>
      </w:r>
      <w:proofErr w:type="spellStart"/>
      <w:r w:rsidRPr="00BC6D6A">
        <w:rPr>
          <w:rFonts w:cs="Times New Roman"/>
          <w:sz w:val="22"/>
          <w:szCs w:val="22"/>
        </w:rPr>
        <w:t>Pharmasist</w:t>
      </w:r>
      <w:proofErr w:type="spellEnd"/>
      <w:r w:rsidRPr="00BC6D6A">
        <w:rPr>
          <w:rFonts w:cs="Times New Roman"/>
          <w:sz w:val="22"/>
          <w:szCs w:val="22"/>
        </w:rPr>
        <w:t xml:space="preserve">, A. (2012). </w:t>
      </w:r>
      <w:r w:rsidRPr="00BC6D6A">
        <w:rPr>
          <w:rFonts w:cs="Times New Roman"/>
          <w:i/>
          <w:sz w:val="22"/>
          <w:szCs w:val="22"/>
        </w:rPr>
        <w:t xml:space="preserve">Drug Information </w:t>
      </w:r>
      <w:proofErr w:type="gramStart"/>
      <w:r w:rsidRPr="00BC6D6A">
        <w:rPr>
          <w:rFonts w:cs="Times New Roman"/>
          <w:i/>
          <w:sz w:val="22"/>
          <w:szCs w:val="22"/>
        </w:rPr>
        <w:t>Handbook :</w:t>
      </w:r>
      <w:proofErr w:type="gramEnd"/>
      <w:r w:rsidRPr="00BC6D6A">
        <w:rPr>
          <w:rFonts w:cs="Times New Roman"/>
          <w:i/>
          <w:sz w:val="22"/>
          <w:szCs w:val="22"/>
        </w:rPr>
        <w:t xml:space="preserve"> A Comprehensive Resource for All Clinicals Healthcare Professionals</w:t>
      </w:r>
      <w:r w:rsidRPr="00BC6D6A">
        <w:rPr>
          <w:rFonts w:cs="Times New Roman"/>
          <w:sz w:val="22"/>
          <w:szCs w:val="22"/>
        </w:rPr>
        <w:t xml:space="preserve"> (Vol. 2, Issue </w:t>
      </w:r>
      <w:proofErr w:type="spellStart"/>
      <w:r w:rsidRPr="00BC6D6A">
        <w:rPr>
          <w:rFonts w:cs="Times New Roman"/>
          <w:sz w:val="22"/>
          <w:szCs w:val="22"/>
        </w:rPr>
        <w:t>september</w:t>
      </w:r>
      <w:proofErr w:type="spellEnd"/>
      <w:r w:rsidRPr="00BC6D6A">
        <w:rPr>
          <w:rFonts w:cs="Times New Roman"/>
          <w:sz w:val="22"/>
          <w:szCs w:val="22"/>
        </w:rPr>
        <w:t xml:space="preserve"> 2012, pp. 1–1122).</w:t>
      </w:r>
    </w:p>
    <w:p w14:paraId="1BDA2798"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Arif </w:t>
      </w:r>
      <w:proofErr w:type="spellStart"/>
      <w:r w:rsidRPr="00BC6D6A">
        <w:rPr>
          <w:rFonts w:cs="Times New Roman"/>
          <w:sz w:val="22"/>
          <w:szCs w:val="22"/>
        </w:rPr>
        <w:t>Mansjoer</w:t>
      </w:r>
      <w:proofErr w:type="spellEnd"/>
      <w:r w:rsidRPr="00BC6D6A">
        <w:rPr>
          <w:rFonts w:cs="Times New Roman"/>
          <w:sz w:val="22"/>
          <w:szCs w:val="22"/>
        </w:rPr>
        <w:t xml:space="preserve">. (2005). </w:t>
      </w:r>
      <w:r w:rsidRPr="00BC6D6A">
        <w:rPr>
          <w:rFonts w:cs="Times New Roman"/>
          <w:i/>
          <w:sz w:val="22"/>
          <w:szCs w:val="22"/>
        </w:rPr>
        <w:t xml:space="preserve">Kapita </w:t>
      </w:r>
      <w:proofErr w:type="spellStart"/>
      <w:r w:rsidRPr="00BC6D6A">
        <w:rPr>
          <w:rFonts w:cs="Times New Roman"/>
          <w:i/>
          <w:sz w:val="22"/>
          <w:szCs w:val="22"/>
        </w:rPr>
        <w:t>Selekta</w:t>
      </w:r>
      <w:proofErr w:type="spellEnd"/>
      <w:r w:rsidRPr="00BC6D6A">
        <w:rPr>
          <w:rFonts w:cs="Times New Roman"/>
          <w:i/>
          <w:sz w:val="22"/>
          <w:szCs w:val="22"/>
        </w:rPr>
        <w:t xml:space="preserve"> </w:t>
      </w:r>
      <w:proofErr w:type="spellStart"/>
      <w:r w:rsidRPr="00BC6D6A">
        <w:rPr>
          <w:rFonts w:cs="Times New Roman"/>
          <w:i/>
          <w:sz w:val="22"/>
          <w:szCs w:val="22"/>
        </w:rPr>
        <w:t>Kedokteran</w:t>
      </w:r>
      <w:proofErr w:type="spellEnd"/>
      <w:r w:rsidRPr="00BC6D6A">
        <w:rPr>
          <w:rFonts w:cs="Times New Roman"/>
          <w:i/>
          <w:sz w:val="22"/>
          <w:szCs w:val="22"/>
        </w:rPr>
        <w:t xml:space="preserve"> Jilid II</w:t>
      </w:r>
      <w:r w:rsidRPr="00BC6D6A">
        <w:rPr>
          <w:rFonts w:cs="Times New Roman"/>
          <w:sz w:val="22"/>
          <w:szCs w:val="22"/>
        </w:rPr>
        <w:t xml:space="preserve"> (3rd ed.). Media Aesculapius </w:t>
      </w:r>
      <w:proofErr w:type="spellStart"/>
      <w:r w:rsidRPr="00BC6D6A">
        <w:rPr>
          <w:rFonts w:cs="Times New Roman"/>
          <w:sz w:val="22"/>
          <w:szCs w:val="22"/>
        </w:rPr>
        <w:t>Fakultas</w:t>
      </w:r>
      <w:proofErr w:type="spellEnd"/>
      <w:r w:rsidRPr="00BC6D6A">
        <w:rPr>
          <w:rFonts w:cs="Times New Roman"/>
          <w:sz w:val="22"/>
          <w:szCs w:val="22"/>
        </w:rPr>
        <w:t xml:space="preserve"> </w:t>
      </w:r>
      <w:proofErr w:type="spellStart"/>
      <w:r w:rsidRPr="00BC6D6A">
        <w:rPr>
          <w:rFonts w:cs="Times New Roman"/>
          <w:sz w:val="22"/>
          <w:szCs w:val="22"/>
        </w:rPr>
        <w:t>Kedokteran</w:t>
      </w:r>
      <w:proofErr w:type="spellEnd"/>
      <w:r w:rsidRPr="00BC6D6A">
        <w:rPr>
          <w:rFonts w:cs="Times New Roman"/>
          <w:sz w:val="22"/>
          <w:szCs w:val="22"/>
        </w:rPr>
        <w:t xml:space="preserve"> Universitas Indonesia. http://opac.perpusnas.go.id/DetailOpac.aspx?id=507150</w:t>
      </w:r>
    </w:p>
    <w:p w14:paraId="1B2DB9DB"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ASHP. (2013). </w:t>
      </w:r>
      <w:r w:rsidRPr="00BC6D6A">
        <w:rPr>
          <w:rFonts w:cs="Times New Roman"/>
          <w:i/>
          <w:sz w:val="22"/>
          <w:szCs w:val="22"/>
        </w:rPr>
        <w:t xml:space="preserve">Clinical Practice </w:t>
      </w:r>
      <w:proofErr w:type="spellStart"/>
      <w:r w:rsidRPr="00BC6D6A">
        <w:rPr>
          <w:rFonts w:cs="Times New Roman"/>
          <w:i/>
          <w:sz w:val="22"/>
          <w:szCs w:val="22"/>
        </w:rPr>
        <w:t>Guidlines</w:t>
      </w:r>
      <w:proofErr w:type="spellEnd"/>
      <w:r w:rsidRPr="00BC6D6A">
        <w:rPr>
          <w:rFonts w:cs="Times New Roman"/>
          <w:i/>
          <w:sz w:val="22"/>
          <w:szCs w:val="22"/>
        </w:rPr>
        <w:t xml:space="preserve"> for Antimicrobial </w:t>
      </w:r>
      <w:proofErr w:type="spellStart"/>
      <w:r w:rsidRPr="00BC6D6A">
        <w:rPr>
          <w:rFonts w:cs="Times New Roman"/>
          <w:i/>
          <w:sz w:val="22"/>
          <w:szCs w:val="22"/>
        </w:rPr>
        <w:t>Prophykaxis</w:t>
      </w:r>
      <w:proofErr w:type="spellEnd"/>
      <w:r w:rsidRPr="00BC6D6A">
        <w:rPr>
          <w:rFonts w:cs="Times New Roman"/>
          <w:i/>
          <w:sz w:val="22"/>
          <w:szCs w:val="22"/>
        </w:rPr>
        <w:t xml:space="preserve"> in Surgery. ASHP Therapeutic </w:t>
      </w:r>
      <w:proofErr w:type="spellStart"/>
      <w:r w:rsidRPr="00BC6D6A">
        <w:rPr>
          <w:rFonts w:cs="Times New Roman"/>
          <w:i/>
          <w:sz w:val="22"/>
          <w:szCs w:val="22"/>
        </w:rPr>
        <w:t>Guidlines</w:t>
      </w:r>
      <w:proofErr w:type="spellEnd"/>
      <w:r w:rsidRPr="00BC6D6A">
        <w:rPr>
          <w:rFonts w:cs="Times New Roman"/>
          <w:sz w:val="22"/>
          <w:szCs w:val="22"/>
        </w:rPr>
        <w:t>.</w:t>
      </w:r>
    </w:p>
    <w:p w14:paraId="443FC38D"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Badriul</w:t>
      </w:r>
      <w:proofErr w:type="spellEnd"/>
      <w:r w:rsidRPr="00BC6D6A">
        <w:rPr>
          <w:rFonts w:cs="Times New Roman"/>
          <w:sz w:val="22"/>
          <w:szCs w:val="22"/>
        </w:rPr>
        <w:t xml:space="preserve">, H., </w:t>
      </w:r>
      <w:proofErr w:type="spellStart"/>
      <w:r w:rsidRPr="00BC6D6A">
        <w:rPr>
          <w:rFonts w:cs="Times New Roman"/>
          <w:sz w:val="22"/>
          <w:szCs w:val="22"/>
        </w:rPr>
        <w:t>Idham</w:t>
      </w:r>
      <w:proofErr w:type="spellEnd"/>
      <w:r w:rsidRPr="00BC6D6A">
        <w:rPr>
          <w:rFonts w:cs="Times New Roman"/>
          <w:sz w:val="22"/>
          <w:szCs w:val="22"/>
        </w:rPr>
        <w:t xml:space="preserve">, A., Amir, T., Evita, I. B. K., Antonius, P. H., &amp; Lina, H. (2013). </w:t>
      </w:r>
      <w:proofErr w:type="spellStart"/>
      <w:r w:rsidRPr="00BC6D6A">
        <w:rPr>
          <w:rFonts w:cs="Times New Roman"/>
          <w:sz w:val="22"/>
          <w:szCs w:val="22"/>
        </w:rPr>
        <w:t>Prevalens</w:t>
      </w:r>
      <w:proofErr w:type="spellEnd"/>
      <w:r w:rsidRPr="00BC6D6A">
        <w:rPr>
          <w:rFonts w:cs="Times New Roman"/>
          <w:sz w:val="22"/>
          <w:szCs w:val="22"/>
        </w:rPr>
        <w:t xml:space="preserve"> dan Faktor </w:t>
      </w:r>
      <w:proofErr w:type="spellStart"/>
      <w:r w:rsidRPr="00BC6D6A">
        <w:rPr>
          <w:rFonts w:cs="Times New Roman"/>
          <w:sz w:val="22"/>
          <w:szCs w:val="22"/>
        </w:rPr>
        <w:t>Risiko</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Pasca-</w:t>
      </w:r>
      <w:proofErr w:type="spellStart"/>
      <w:r w:rsidRPr="00BC6D6A">
        <w:rPr>
          <w:rFonts w:cs="Times New Roman"/>
          <w:sz w:val="22"/>
          <w:szCs w:val="22"/>
        </w:rPr>
        <w:t>bedah</w:t>
      </w:r>
      <w:proofErr w:type="spellEnd"/>
      <w:r w:rsidRPr="00BC6D6A">
        <w:rPr>
          <w:rFonts w:cs="Times New Roman"/>
          <w:sz w:val="22"/>
          <w:szCs w:val="22"/>
        </w:rPr>
        <w:t xml:space="preserve">. </w:t>
      </w:r>
      <w:r w:rsidRPr="00BC6D6A">
        <w:rPr>
          <w:rFonts w:cs="Times New Roman"/>
          <w:i/>
          <w:sz w:val="22"/>
          <w:szCs w:val="22"/>
        </w:rPr>
        <w:t xml:space="preserve">Sari </w:t>
      </w:r>
      <w:proofErr w:type="spellStart"/>
      <w:r w:rsidRPr="00BC6D6A">
        <w:rPr>
          <w:rFonts w:cs="Times New Roman"/>
          <w:i/>
          <w:sz w:val="22"/>
          <w:szCs w:val="22"/>
        </w:rPr>
        <w:t>Pediatri</w:t>
      </w:r>
      <w:proofErr w:type="spellEnd"/>
      <w:r w:rsidRPr="00BC6D6A">
        <w:rPr>
          <w:rFonts w:cs="Times New Roman"/>
          <w:sz w:val="22"/>
          <w:szCs w:val="22"/>
        </w:rPr>
        <w:t xml:space="preserve">, </w:t>
      </w:r>
      <w:r w:rsidRPr="00BC6D6A">
        <w:rPr>
          <w:rFonts w:cs="Times New Roman"/>
          <w:i/>
          <w:sz w:val="22"/>
          <w:szCs w:val="22"/>
        </w:rPr>
        <w:t>15</w:t>
      </w:r>
      <w:r w:rsidRPr="00BC6D6A">
        <w:rPr>
          <w:rFonts w:cs="Times New Roman"/>
          <w:sz w:val="22"/>
          <w:szCs w:val="22"/>
        </w:rPr>
        <w:t>(4), 207–209.</w:t>
      </w:r>
    </w:p>
    <w:p w14:paraId="5D3DCC84"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BPOM RI. (2017). </w:t>
      </w:r>
      <w:proofErr w:type="spellStart"/>
      <w:r w:rsidRPr="00BC6D6A">
        <w:rPr>
          <w:rFonts w:cs="Times New Roman"/>
          <w:sz w:val="22"/>
          <w:szCs w:val="22"/>
        </w:rPr>
        <w:t>Peraturan</w:t>
      </w:r>
      <w:proofErr w:type="spellEnd"/>
      <w:r w:rsidRPr="00BC6D6A">
        <w:rPr>
          <w:rFonts w:cs="Times New Roman"/>
          <w:sz w:val="22"/>
          <w:szCs w:val="22"/>
        </w:rPr>
        <w:t xml:space="preserve"> Kepala Badan </w:t>
      </w:r>
      <w:proofErr w:type="spellStart"/>
      <w:r w:rsidRPr="00BC6D6A">
        <w:rPr>
          <w:rFonts w:cs="Times New Roman"/>
          <w:sz w:val="22"/>
          <w:szCs w:val="22"/>
        </w:rPr>
        <w:t>Pengawas</w:t>
      </w:r>
      <w:proofErr w:type="spellEnd"/>
      <w:r w:rsidRPr="00BC6D6A">
        <w:rPr>
          <w:rFonts w:cs="Times New Roman"/>
          <w:sz w:val="22"/>
          <w:szCs w:val="22"/>
        </w:rPr>
        <w:t xml:space="preserve"> Obat Dan </w:t>
      </w:r>
      <w:proofErr w:type="spellStart"/>
      <w:r w:rsidRPr="00BC6D6A">
        <w:rPr>
          <w:rFonts w:cs="Times New Roman"/>
          <w:sz w:val="22"/>
          <w:szCs w:val="22"/>
        </w:rPr>
        <w:t>Makanan</w:t>
      </w:r>
      <w:proofErr w:type="spellEnd"/>
      <w:r w:rsidRPr="00BC6D6A">
        <w:rPr>
          <w:rFonts w:cs="Times New Roman"/>
          <w:sz w:val="22"/>
          <w:szCs w:val="22"/>
        </w:rPr>
        <w:t xml:space="preserve"> </w:t>
      </w:r>
      <w:proofErr w:type="spellStart"/>
      <w:r w:rsidRPr="00BC6D6A">
        <w:rPr>
          <w:rFonts w:cs="Times New Roman"/>
          <w:sz w:val="22"/>
          <w:szCs w:val="22"/>
        </w:rPr>
        <w:t>Republik</w:t>
      </w:r>
      <w:proofErr w:type="spellEnd"/>
      <w:r w:rsidRPr="00BC6D6A">
        <w:rPr>
          <w:rFonts w:cs="Times New Roman"/>
          <w:sz w:val="22"/>
          <w:szCs w:val="22"/>
        </w:rPr>
        <w:t xml:space="preserve"> Indonesia </w:t>
      </w:r>
      <w:proofErr w:type="spellStart"/>
      <w:r w:rsidRPr="00BC6D6A">
        <w:rPr>
          <w:rFonts w:cs="Times New Roman"/>
          <w:sz w:val="22"/>
          <w:szCs w:val="22"/>
        </w:rPr>
        <w:t>Nomor</w:t>
      </w:r>
      <w:proofErr w:type="spellEnd"/>
      <w:r w:rsidRPr="00BC6D6A">
        <w:rPr>
          <w:rFonts w:cs="Times New Roman"/>
          <w:sz w:val="22"/>
          <w:szCs w:val="22"/>
        </w:rPr>
        <w:t xml:space="preserve"> 14 </w:t>
      </w:r>
      <w:proofErr w:type="spellStart"/>
      <w:r w:rsidRPr="00BC6D6A">
        <w:rPr>
          <w:rFonts w:cs="Times New Roman"/>
          <w:sz w:val="22"/>
          <w:szCs w:val="22"/>
        </w:rPr>
        <w:t>Tahun</w:t>
      </w:r>
      <w:proofErr w:type="spellEnd"/>
      <w:r w:rsidRPr="00BC6D6A">
        <w:rPr>
          <w:rFonts w:cs="Times New Roman"/>
          <w:sz w:val="22"/>
          <w:szCs w:val="22"/>
        </w:rPr>
        <w:t xml:space="preserve"> 2017 </w:t>
      </w:r>
      <w:proofErr w:type="spellStart"/>
      <w:r w:rsidRPr="00BC6D6A">
        <w:rPr>
          <w:rFonts w:cs="Times New Roman"/>
          <w:sz w:val="22"/>
          <w:szCs w:val="22"/>
        </w:rPr>
        <w:t>Tentang</w:t>
      </w:r>
      <w:proofErr w:type="spellEnd"/>
      <w:r w:rsidRPr="00BC6D6A">
        <w:rPr>
          <w:rFonts w:cs="Times New Roman"/>
          <w:sz w:val="22"/>
          <w:szCs w:val="22"/>
        </w:rPr>
        <w:t xml:space="preserve">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Dokumen</w:t>
      </w:r>
      <w:proofErr w:type="spellEnd"/>
      <w:r w:rsidRPr="00BC6D6A">
        <w:rPr>
          <w:rFonts w:cs="Times New Roman"/>
          <w:sz w:val="22"/>
          <w:szCs w:val="22"/>
        </w:rPr>
        <w:t xml:space="preserve"> </w:t>
      </w:r>
      <w:proofErr w:type="spellStart"/>
      <w:r w:rsidRPr="00BC6D6A">
        <w:rPr>
          <w:rFonts w:cs="Times New Roman"/>
          <w:sz w:val="22"/>
          <w:szCs w:val="22"/>
        </w:rPr>
        <w:t>Informasi</w:t>
      </w:r>
      <w:proofErr w:type="spellEnd"/>
      <w:r w:rsidRPr="00BC6D6A">
        <w:rPr>
          <w:rFonts w:cs="Times New Roman"/>
          <w:sz w:val="22"/>
          <w:szCs w:val="22"/>
        </w:rPr>
        <w:t xml:space="preserve"> </w:t>
      </w:r>
      <w:proofErr w:type="spellStart"/>
      <w:r w:rsidRPr="00BC6D6A">
        <w:rPr>
          <w:rFonts w:cs="Times New Roman"/>
          <w:sz w:val="22"/>
          <w:szCs w:val="22"/>
        </w:rPr>
        <w:t>Produk</w:t>
      </w:r>
      <w:proofErr w:type="spellEnd"/>
      <w:r w:rsidRPr="00BC6D6A">
        <w:rPr>
          <w:rFonts w:cs="Times New Roman"/>
          <w:sz w:val="22"/>
          <w:szCs w:val="22"/>
        </w:rPr>
        <w:t xml:space="preserve">. </w:t>
      </w:r>
      <w:r w:rsidRPr="00BC6D6A">
        <w:rPr>
          <w:rFonts w:cs="Times New Roman"/>
          <w:i/>
          <w:sz w:val="22"/>
          <w:szCs w:val="22"/>
        </w:rPr>
        <w:t xml:space="preserve">Badan </w:t>
      </w:r>
      <w:proofErr w:type="spellStart"/>
      <w:r w:rsidRPr="00BC6D6A">
        <w:rPr>
          <w:rFonts w:cs="Times New Roman"/>
          <w:i/>
          <w:sz w:val="22"/>
          <w:szCs w:val="22"/>
        </w:rPr>
        <w:t>Pengawas</w:t>
      </w:r>
      <w:proofErr w:type="spellEnd"/>
      <w:r w:rsidRPr="00BC6D6A">
        <w:rPr>
          <w:rFonts w:cs="Times New Roman"/>
          <w:i/>
          <w:sz w:val="22"/>
          <w:szCs w:val="22"/>
        </w:rPr>
        <w:t xml:space="preserve"> Obat Dan </w:t>
      </w:r>
      <w:proofErr w:type="spellStart"/>
      <w:r w:rsidRPr="00BC6D6A">
        <w:rPr>
          <w:rFonts w:cs="Times New Roman"/>
          <w:i/>
          <w:sz w:val="22"/>
          <w:szCs w:val="22"/>
        </w:rPr>
        <w:t>Makanan</w:t>
      </w:r>
      <w:proofErr w:type="spellEnd"/>
      <w:r w:rsidRPr="00BC6D6A">
        <w:rPr>
          <w:rFonts w:cs="Times New Roman"/>
          <w:i/>
          <w:sz w:val="22"/>
          <w:szCs w:val="22"/>
        </w:rPr>
        <w:t xml:space="preserve"> </w:t>
      </w:r>
      <w:proofErr w:type="spellStart"/>
      <w:r w:rsidRPr="00BC6D6A">
        <w:rPr>
          <w:rFonts w:cs="Times New Roman"/>
          <w:i/>
          <w:sz w:val="22"/>
          <w:szCs w:val="22"/>
        </w:rPr>
        <w:t>Republik</w:t>
      </w:r>
      <w:proofErr w:type="spellEnd"/>
      <w:r w:rsidRPr="00BC6D6A">
        <w:rPr>
          <w:rFonts w:cs="Times New Roman"/>
          <w:i/>
          <w:sz w:val="22"/>
          <w:szCs w:val="22"/>
        </w:rPr>
        <w:t xml:space="preserve"> Indonesia</w:t>
      </w:r>
      <w:r w:rsidRPr="00BC6D6A">
        <w:rPr>
          <w:rFonts w:cs="Times New Roman"/>
          <w:sz w:val="22"/>
          <w:szCs w:val="22"/>
        </w:rPr>
        <w:t>, 1–3.</w:t>
      </w:r>
    </w:p>
    <w:p w14:paraId="26DBCB0E"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Bratzler</w:t>
      </w:r>
      <w:proofErr w:type="spellEnd"/>
      <w:r w:rsidRPr="00BC6D6A">
        <w:rPr>
          <w:rFonts w:cs="Times New Roman"/>
          <w:sz w:val="22"/>
          <w:szCs w:val="22"/>
        </w:rPr>
        <w:t xml:space="preserve">, D. W., Dellinger, E. P., Olsen, K. M., Perl, T. M., Auwaerter, P. G., Bolon, M. K., Fish, D. N., Napolitano, L. M., Sawyer, R. G., Slain, D., Steinberg, J. P., &amp; Weinstein, R. A. (2013). Clinical practice guidelines for antimicrobial prophylaxis in surgery. </w:t>
      </w:r>
      <w:r w:rsidRPr="00BC6D6A">
        <w:rPr>
          <w:rFonts w:cs="Times New Roman"/>
          <w:i/>
          <w:sz w:val="22"/>
          <w:szCs w:val="22"/>
        </w:rPr>
        <w:t>American Journal of Health-System Pharmacy</w:t>
      </w:r>
      <w:r w:rsidRPr="00BC6D6A">
        <w:rPr>
          <w:rFonts w:cs="Times New Roman"/>
          <w:sz w:val="22"/>
          <w:szCs w:val="22"/>
        </w:rPr>
        <w:t xml:space="preserve">, </w:t>
      </w:r>
      <w:r w:rsidRPr="00BC6D6A">
        <w:rPr>
          <w:rFonts w:cs="Times New Roman"/>
          <w:i/>
          <w:sz w:val="22"/>
          <w:szCs w:val="22"/>
        </w:rPr>
        <w:t>70</w:t>
      </w:r>
      <w:r w:rsidRPr="00BC6D6A">
        <w:rPr>
          <w:rFonts w:cs="Times New Roman"/>
          <w:sz w:val="22"/>
          <w:szCs w:val="22"/>
        </w:rPr>
        <w:t>(3), 195–283. https://doi.org/10.2146/ajhp120568</w:t>
      </w:r>
    </w:p>
    <w:p w14:paraId="5909AF87"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Fadli, </w:t>
      </w:r>
      <w:proofErr w:type="spellStart"/>
      <w:r w:rsidRPr="00BC6D6A">
        <w:rPr>
          <w:rFonts w:cs="Times New Roman"/>
          <w:sz w:val="22"/>
          <w:szCs w:val="22"/>
        </w:rPr>
        <w:t>Toalib</w:t>
      </w:r>
      <w:proofErr w:type="spellEnd"/>
      <w:r w:rsidRPr="00BC6D6A">
        <w:rPr>
          <w:rFonts w:cs="Times New Roman"/>
          <w:sz w:val="22"/>
          <w:szCs w:val="22"/>
        </w:rPr>
        <w:t xml:space="preserve">, I., &amp; </w:t>
      </w:r>
      <w:proofErr w:type="spellStart"/>
      <w:r w:rsidRPr="00BC6D6A">
        <w:rPr>
          <w:rFonts w:cs="Times New Roman"/>
          <w:sz w:val="22"/>
          <w:szCs w:val="22"/>
        </w:rPr>
        <w:t>Kassaming</w:t>
      </w:r>
      <w:proofErr w:type="spellEnd"/>
      <w:r w:rsidRPr="00BC6D6A">
        <w:rPr>
          <w:rFonts w:cs="Times New Roman"/>
          <w:sz w:val="22"/>
          <w:szCs w:val="22"/>
        </w:rPr>
        <w:t xml:space="preserve">. (2019). </w:t>
      </w:r>
      <w:proofErr w:type="spellStart"/>
      <w:r w:rsidRPr="00BC6D6A">
        <w:rPr>
          <w:rFonts w:cs="Times New Roman"/>
          <w:sz w:val="22"/>
          <w:szCs w:val="22"/>
        </w:rPr>
        <w:t>Pengaruh</w:t>
      </w:r>
      <w:proofErr w:type="spellEnd"/>
      <w:r w:rsidRPr="00BC6D6A">
        <w:rPr>
          <w:rFonts w:cs="Times New Roman"/>
          <w:sz w:val="22"/>
          <w:szCs w:val="22"/>
        </w:rPr>
        <w:t xml:space="preserve"> Pendidikan Kesehatan </w:t>
      </w:r>
      <w:proofErr w:type="spellStart"/>
      <w:r w:rsidRPr="00BC6D6A">
        <w:rPr>
          <w:rFonts w:cs="Times New Roman"/>
          <w:sz w:val="22"/>
          <w:szCs w:val="22"/>
        </w:rPr>
        <w:t>Terhadap</w:t>
      </w:r>
      <w:proofErr w:type="spellEnd"/>
      <w:r w:rsidRPr="00BC6D6A">
        <w:rPr>
          <w:rFonts w:cs="Times New Roman"/>
          <w:sz w:val="22"/>
          <w:szCs w:val="22"/>
        </w:rPr>
        <w:t xml:space="preserve"> Tingkat </w:t>
      </w:r>
      <w:proofErr w:type="spellStart"/>
      <w:r w:rsidRPr="00BC6D6A">
        <w:rPr>
          <w:rFonts w:cs="Times New Roman"/>
          <w:sz w:val="22"/>
          <w:szCs w:val="22"/>
        </w:rPr>
        <w:t>Kecemasan</w:t>
      </w:r>
      <w:proofErr w:type="spellEnd"/>
      <w:r w:rsidRPr="00BC6D6A">
        <w:rPr>
          <w:rFonts w:cs="Times New Roman"/>
          <w:sz w:val="22"/>
          <w:szCs w:val="22"/>
        </w:rPr>
        <w:t xml:space="preserve"> Pada Pasien </w:t>
      </w:r>
      <w:proofErr w:type="gramStart"/>
      <w:r w:rsidRPr="00BC6D6A">
        <w:rPr>
          <w:rFonts w:cs="Times New Roman"/>
          <w:sz w:val="22"/>
          <w:szCs w:val="22"/>
        </w:rPr>
        <w:t xml:space="preserve">Pre </w:t>
      </w:r>
      <w:proofErr w:type="spellStart"/>
      <w:r w:rsidRPr="00BC6D6A">
        <w:rPr>
          <w:rFonts w:cs="Times New Roman"/>
          <w:sz w:val="22"/>
          <w:szCs w:val="22"/>
        </w:rPr>
        <w:t>Operasi</w:t>
      </w:r>
      <w:proofErr w:type="spellEnd"/>
      <w:r w:rsidRPr="00BC6D6A">
        <w:rPr>
          <w:rFonts w:cs="Times New Roman"/>
          <w:sz w:val="22"/>
          <w:szCs w:val="22"/>
        </w:rPr>
        <w:t xml:space="preserve"> Mayor</w:t>
      </w:r>
      <w:proofErr w:type="gramEnd"/>
      <w:r w:rsidRPr="00BC6D6A">
        <w:rPr>
          <w:rFonts w:cs="Times New Roman"/>
          <w:sz w:val="22"/>
          <w:szCs w:val="22"/>
        </w:rPr>
        <w:t xml:space="preserve">. </w:t>
      </w:r>
      <w:proofErr w:type="spellStart"/>
      <w:r w:rsidRPr="00BC6D6A">
        <w:rPr>
          <w:rFonts w:cs="Times New Roman"/>
          <w:i/>
          <w:sz w:val="22"/>
          <w:szCs w:val="22"/>
        </w:rPr>
        <w:t>Jurnal</w:t>
      </w:r>
      <w:proofErr w:type="spellEnd"/>
      <w:r w:rsidRPr="00BC6D6A">
        <w:rPr>
          <w:rFonts w:cs="Times New Roman"/>
          <w:i/>
          <w:sz w:val="22"/>
          <w:szCs w:val="22"/>
        </w:rPr>
        <w:t xml:space="preserve"> </w:t>
      </w:r>
      <w:proofErr w:type="spellStart"/>
      <w:r w:rsidRPr="00BC6D6A">
        <w:rPr>
          <w:rFonts w:cs="Times New Roman"/>
          <w:i/>
          <w:sz w:val="22"/>
          <w:szCs w:val="22"/>
        </w:rPr>
        <w:t>Ilmiah</w:t>
      </w:r>
      <w:proofErr w:type="spellEnd"/>
      <w:r w:rsidRPr="00BC6D6A">
        <w:rPr>
          <w:rFonts w:cs="Times New Roman"/>
          <w:i/>
          <w:sz w:val="22"/>
          <w:szCs w:val="22"/>
        </w:rPr>
        <w:t xml:space="preserve"> Kesehatan Diagnosis</w:t>
      </w:r>
      <w:r w:rsidRPr="00BC6D6A">
        <w:rPr>
          <w:rFonts w:cs="Times New Roman"/>
          <w:sz w:val="22"/>
          <w:szCs w:val="22"/>
        </w:rPr>
        <w:t xml:space="preserve">, 670–674. </w:t>
      </w:r>
      <w:r w:rsidRPr="00BC6D6A">
        <w:rPr>
          <w:rFonts w:cs="Times New Roman"/>
          <w:sz w:val="22"/>
          <w:szCs w:val="22"/>
        </w:rPr>
        <w:lastRenderedPageBreak/>
        <w:t>https://jurnal.stikesnh.ac.id/index.php/jikd/article/view/115</w:t>
      </w:r>
    </w:p>
    <w:p w14:paraId="639FA6E8"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FDA. (2004). </w:t>
      </w:r>
      <w:r w:rsidRPr="00BC6D6A">
        <w:rPr>
          <w:rFonts w:cs="Times New Roman"/>
          <w:i/>
          <w:sz w:val="22"/>
          <w:szCs w:val="22"/>
        </w:rPr>
        <w:t>ROCEPHIN ® (ceftriaxone sodium)</w:t>
      </w:r>
      <w:r w:rsidRPr="00BC6D6A">
        <w:rPr>
          <w:rFonts w:cs="Times New Roman"/>
          <w:sz w:val="22"/>
          <w:szCs w:val="22"/>
        </w:rPr>
        <w:t xml:space="preserve">. </w:t>
      </w:r>
      <w:r w:rsidRPr="00BC6D6A">
        <w:rPr>
          <w:rFonts w:cs="Times New Roman"/>
          <w:i/>
          <w:sz w:val="22"/>
          <w:szCs w:val="22"/>
        </w:rPr>
        <w:t>35</w:t>
      </w:r>
      <w:r w:rsidRPr="00BC6D6A">
        <w:rPr>
          <w:rFonts w:cs="Times New Roman"/>
          <w:sz w:val="22"/>
          <w:szCs w:val="22"/>
        </w:rPr>
        <w:t>.</w:t>
      </w:r>
    </w:p>
    <w:p w14:paraId="7ED2FC73"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FDA. (2024). </w:t>
      </w:r>
      <w:proofErr w:type="gramStart"/>
      <w:r w:rsidRPr="00BC6D6A">
        <w:rPr>
          <w:rFonts w:cs="Times New Roman"/>
          <w:sz w:val="22"/>
          <w:szCs w:val="22"/>
        </w:rPr>
        <w:t>FDA :</w:t>
      </w:r>
      <w:proofErr w:type="gramEnd"/>
      <w:r w:rsidRPr="00BC6D6A">
        <w:rPr>
          <w:rFonts w:cs="Times New Roman"/>
          <w:sz w:val="22"/>
          <w:szCs w:val="22"/>
        </w:rPr>
        <w:t xml:space="preserve"> Ciprofloxacin oral, Injection Product. In </w:t>
      </w:r>
      <w:r w:rsidRPr="00BC6D6A">
        <w:rPr>
          <w:rFonts w:cs="Times New Roman"/>
          <w:i/>
          <w:sz w:val="22"/>
          <w:szCs w:val="22"/>
        </w:rPr>
        <w:t>Food and Drug Administration</w:t>
      </w:r>
      <w:r w:rsidRPr="00BC6D6A">
        <w:rPr>
          <w:rFonts w:cs="Times New Roman"/>
          <w:sz w:val="22"/>
          <w:szCs w:val="22"/>
        </w:rPr>
        <w:t>. https://www.fda.gov/drugs/development-resources/ciprofloxacin-oral-injection-products</w:t>
      </w:r>
    </w:p>
    <w:p w14:paraId="7F2BD6BD"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Fitratiara</w:t>
      </w:r>
      <w:proofErr w:type="spellEnd"/>
      <w:r w:rsidRPr="00BC6D6A">
        <w:rPr>
          <w:rFonts w:cs="Times New Roman"/>
          <w:sz w:val="22"/>
          <w:szCs w:val="22"/>
        </w:rPr>
        <w:t xml:space="preserve">, D., </w:t>
      </w:r>
      <w:proofErr w:type="spellStart"/>
      <w:r w:rsidRPr="00BC6D6A">
        <w:rPr>
          <w:rFonts w:cs="Times New Roman"/>
          <w:sz w:val="22"/>
          <w:szCs w:val="22"/>
        </w:rPr>
        <w:t>Puspitasari</w:t>
      </w:r>
      <w:proofErr w:type="spellEnd"/>
      <w:r w:rsidRPr="00BC6D6A">
        <w:rPr>
          <w:rFonts w:cs="Times New Roman"/>
          <w:sz w:val="22"/>
          <w:szCs w:val="22"/>
        </w:rPr>
        <w:t xml:space="preserve">, I., &amp; </w:t>
      </w:r>
      <w:proofErr w:type="spellStart"/>
      <w:r w:rsidRPr="00BC6D6A">
        <w:rPr>
          <w:rFonts w:cs="Times New Roman"/>
          <w:sz w:val="22"/>
          <w:szCs w:val="22"/>
        </w:rPr>
        <w:t>Nuryastuti</w:t>
      </w:r>
      <w:proofErr w:type="spellEnd"/>
      <w:r w:rsidRPr="00BC6D6A">
        <w:rPr>
          <w:rFonts w:cs="Times New Roman"/>
          <w:sz w:val="22"/>
          <w:szCs w:val="22"/>
        </w:rPr>
        <w:t xml:space="preserve">, T. (2022). </w:t>
      </w:r>
      <w:proofErr w:type="spellStart"/>
      <w:r w:rsidRPr="00BC6D6A">
        <w:rPr>
          <w:rFonts w:cs="Times New Roman"/>
          <w:sz w:val="22"/>
          <w:szCs w:val="22"/>
        </w:rPr>
        <w:t>Evaluasi</w:t>
      </w:r>
      <w:proofErr w:type="spellEnd"/>
      <w:r w:rsidRPr="00BC6D6A">
        <w:rPr>
          <w:rFonts w:cs="Times New Roman"/>
          <w:sz w:val="22"/>
          <w:szCs w:val="22"/>
        </w:rPr>
        <w:t xml:space="preserve"> </w:t>
      </w:r>
      <w:proofErr w:type="spellStart"/>
      <w:r w:rsidRPr="00BC6D6A">
        <w:rPr>
          <w:rFonts w:cs="Times New Roman"/>
          <w:sz w:val="22"/>
          <w:szCs w:val="22"/>
        </w:rPr>
        <w:t>Kesesuaian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Pada Pasien Bedah Digestif di Salah Satu Rumah Sakit </w:t>
      </w:r>
      <w:proofErr w:type="spellStart"/>
      <w:r w:rsidRPr="00BC6D6A">
        <w:rPr>
          <w:rFonts w:cs="Times New Roman"/>
          <w:sz w:val="22"/>
          <w:szCs w:val="22"/>
        </w:rPr>
        <w:t>Tipe</w:t>
      </w:r>
      <w:proofErr w:type="spellEnd"/>
      <w:r w:rsidRPr="00BC6D6A">
        <w:rPr>
          <w:rFonts w:cs="Times New Roman"/>
          <w:sz w:val="22"/>
          <w:szCs w:val="22"/>
        </w:rPr>
        <w:t xml:space="preserve"> B </w:t>
      </w:r>
      <w:proofErr w:type="spellStart"/>
      <w:r w:rsidRPr="00BC6D6A">
        <w:rPr>
          <w:rFonts w:cs="Times New Roman"/>
          <w:sz w:val="22"/>
          <w:szCs w:val="22"/>
        </w:rPr>
        <w:t>Kabupaten</w:t>
      </w:r>
      <w:proofErr w:type="spellEnd"/>
      <w:r w:rsidRPr="00BC6D6A">
        <w:rPr>
          <w:rFonts w:cs="Times New Roman"/>
          <w:sz w:val="22"/>
          <w:szCs w:val="22"/>
        </w:rPr>
        <w:t xml:space="preserve"> Sleman. </w:t>
      </w:r>
      <w:proofErr w:type="spellStart"/>
      <w:r w:rsidRPr="00BC6D6A">
        <w:rPr>
          <w:rFonts w:cs="Times New Roman"/>
          <w:i/>
          <w:sz w:val="22"/>
          <w:szCs w:val="22"/>
        </w:rPr>
        <w:t>Majalah</w:t>
      </w:r>
      <w:proofErr w:type="spellEnd"/>
      <w:r w:rsidRPr="00BC6D6A">
        <w:rPr>
          <w:rFonts w:cs="Times New Roman"/>
          <w:i/>
          <w:sz w:val="22"/>
          <w:szCs w:val="22"/>
        </w:rPr>
        <w:t xml:space="preserve"> </w:t>
      </w:r>
      <w:proofErr w:type="spellStart"/>
      <w:r w:rsidRPr="00BC6D6A">
        <w:rPr>
          <w:rFonts w:cs="Times New Roman"/>
          <w:i/>
          <w:sz w:val="22"/>
          <w:szCs w:val="22"/>
        </w:rPr>
        <w:t>Farmaseutik</w:t>
      </w:r>
      <w:proofErr w:type="spellEnd"/>
      <w:r w:rsidRPr="00BC6D6A">
        <w:rPr>
          <w:rFonts w:cs="Times New Roman"/>
          <w:sz w:val="22"/>
          <w:szCs w:val="22"/>
        </w:rPr>
        <w:t xml:space="preserve">, </w:t>
      </w:r>
      <w:r w:rsidRPr="00BC6D6A">
        <w:rPr>
          <w:rFonts w:cs="Times New Roman"/>
          <w:i/>
          <w:sz w:val="22"/>
          <w:szCs w:val="22"/>
        </w:rPr>
        <w:t>18</w:t>
      </w:r>
      <w:r w:rsidRPr="00BC6D6A">
        <w:rPr>
          <w:rFonts w:cs="Times New Roman"/>
          <w:sz w:val="22"/>
          <w:szCs w:val="22"/>
        </w:rPr>
        <w:t>(2), 211–219. https://doi.org/10.22146/farmaseutik.v1i1.63691</w:t>
      </w:r>
    </w:p>
    <w:p w14:paraId="4FDA0061"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Gnann, J. W., Goetter, W. E., Elliott, A. M., &amp; Cobbs, C. G. (1982). Ceftriaxone: In vitro studies and clinical evaluation. </w:t>
      </w:r>
      <w:r w:rsidRPr="00BC6D6A">
        <w:rPr>
          <w:rFonts w:cs="Times New Roman"/>
          <w:i/>
          <w:sz w:val="22"/>
          <w:szCs w:val="22"/>
        </w:rPr>
        <w:t>Antimicrobial Agents and Chemotherapy</w:t>
      </w:r>
      <w:r w:rsidRPr="00BC6D6A">
        <w:rPr>
          <w:rFonts w:cs="Times New Roman"/>
          <w:sz w:val="22"/>
          <w:szCs w:val="22"/>
        </w:rPr>
        <w:t xml:space="preserve">, </w:t>
      </w:r>
      <w:r w:rsidRPr="00BC6D6A">
        <w:rPr>
          <w:rFonts w:cs="Times New Roman"/>
          <w:i/>
          <w:sz w:val="22"/>
          <w:szCs w:val="22"/>
        </w:rPr>
        <w:t>22</w:t>
      </w:r>
      <w:r w:rsidRPr="00BC6D6A">
        <w:rPr>
          <w:rFonts w:cs="Times New Roman"/>
          <w:sz w:val="22"/>
          <w:szCs w:val="22"/>
        </w:rPr>
        <w:t>(1), 1–9. https://doi.org/10.1128/AAC.22.1.1</w:t>
      </w:r>
    </w:p>
    <w:p w14:paraId="794D5C7B"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Gyssens</w:t>
      </w:r>
      <w:proofErr w:type="spellEnd"/>
      <w:r w:rsidRPr="00BC6D6A">
        <w:rPr>
          <w:rFonts w:cs="Times New Roman"/>
          <w:sz w:val="22"/>
          <w:szCs w:val="22"/>
        </w:rPr>
        <w:t xml:space="preserve">, I. C. (2005). Audits for monitoring the quality of antimicrobial prescriptions. </w:t>
      </w:r>
      <w:r w:rsidRPr="00BC6D6A">
        <w:rPr>
          <w:rFonts w:cs="Times New Roman"/>
          <w:i/>
          <w:sz w:val="22"/>
          <w:szCs w:val="22"/>
        </w:rPr>
        <w:t>Antibiotic Policies: Theory and Practice</w:t>
      </w:r>
      <w:r w:rsidRPr="00BC6D6A">
        <w:rPr>
          <w:rFonts w:cs="Times New Roman"/>
          <w:sz w:val="22"/>
          <w:szCs w:val="22"/>
        </w:rPr>
        <w:t xml:space="preserve">, </w:t>
      </w:r>
      <w:r w:rsidRPr="00BC6D6A">
        <w:rPr>
          <w:rFonts w:cs="Times New Roman"/>
          <w:i/>
          <w:sz w:val="22"/>
          <w:szCs w:val="22"/>
        </w:rPr>
        <w:t>Table 1</w:t>
      </w:r>
      <w:r w:rsidRPr="00BC6D6A">
        <w:rPr>
          <w:rFonts w:cs="Times New Roman"/>
          <w:sz w:val="22"/>
          <w:szCs w:val="22"/>
        </w:rPr>
        <w:t>, 197–226. https://doi.org/10.1007/0-387-22852-7_12</w:t>
      </w:r>
    </w:p>
    <w:p w14:paraId="27E1D352"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Haas, H., Launay, E., </w:t>
      </w:r>
      <w:proofErr w:type="spellStart"/>
      <w:r w:rsidRPr="00BC6D6A">
        <w:rPr>
          <w:rFonts w:cs="Times New Roman"/>
          <w:sz w:val="22"/>
          <w:szCs w:val="22"/>
        </w:rPr>
        <w:t>Minodier</w:t>
      </w:r>
      <w:proofErr w:type="spellEnd"/>
      <w:r w:rsidRPr="00BC6D6A">
        <w:rPr>
          <w:rFonts w:cs="Times New Roman"/>
          <w:sz w:val="22"/>
          <w:szCs w:val="22"/>
        </w:rPr>
        <w:t xml:space="preserve">, P., Cohen, R., &amp; Gras-Le Guen, C. (2017). Surgical and medical antibiotic prophylaxis. </w:t>
      </w:r>
      <w:r w:rsidRPr="00BC6D6A">
        <w:rPr>
          <w:rFonts w:cs="Times New Roman"/>
          <w:i/>
          <w:sz w:val="22"/>
          <w:szCs w:val="22"/>
        </w:rPr>
        <w:t xml:space="preserve">Archives de </w:t>
      </w:r>
      <w:proofErr w:type="spellStart"/>
      <w:r w:rsidRPr="00BC6D6A">
        <w:rPr>
          <w:rFonts w:cs="Times New Roman"/>
          <w:i/>
          <w:sz w:val="22"/>
          <w:szCs w:val="22"/>
        </w:rPr>
        <w:t>Pediatrie</w:t>
      </w:r>
      <w:proofErr w:type="spellEnd"/>
      <w:r w:rsidRPr="00BC6D6A">
        <w:rPr>
          <w:rFonts w:cs="Times New Roman"/>
          <w:sz w:val="22"/>
          <w:szCs w:val="22"/>
        </w:rPr>
        <w:t xml:space="preserve">, </w:t>
      </w:r>
      <w:r w:rsidRPr="00BC6D6A">
        <w:rPr>
          <w:rFonts w:cs="Times New Roman"/>
          <w:i/>
          <w:sz w:val="22"/>
          <w:szCs w:val="22"/>
        </w:rPr>
        <w:t>24</w:t>
      </w:r>
      <w:r w:rsidRPr="00BC6D6A">
        <w:rPr>
          <w:rFonts w:cs="Times New Roman"/>
          <w:sz w:val="22"/>
          <w:szCs w:val="22"/>
        </w:rPr>
        <w:t>(12), S46–S51. https://doi.org/10.1016/S0929-693X(17)30519-5</w:t>
      </w:r>
    </w:p>
    <w:p w14:paraId="1D74B55A"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Hidayatika</w:t>
      </w:r>
      <w:proofErr w:type="spellEnd"/>
      <w:r w:rsidRPr="00BC6D6A">
        <w:rPr>
          <w:rFonts w:cs="Times New Roman"/>
          <w:sz w:val="22"/>
          <w:szCs w:val="22"/>
        </w:rPr>
        <w:t xml:space="preserve">, A., </w:t>
      </w:r>
      <w:proofErr w:type="spellStart"/>
      <w:r w:rsidRPr="00BC6D6A">
        <w:rPr>
          <w:rFonts w:cs="Times New Roman"/>
          <w:sz w:val="22"/>
          <w:szCs w:val="22"/>
        </w:rPr>
        <w:t>Kurniawati</w:t>
      </w:r>
      <w:proofErr w:type="spellEnd"/>
      <w:r w:rsidRPr="00BC6D6A">
        <w:rPr>
          <w:rFonts w:cs="Times New Roman"/>
          <w:sz w:val="22"/>
          <w:szCs w:val="22"/>
        </w:rPr>
        <w:t xml:space="preserve">, F., &amp; Yasin, N. M. (2019). </w:t>
      </w:r>
      <w:r w:rsidRPr="00BC6D6A">
        <w:rPr>
          <w:rFonts w:cs="Times New Roman"/>
          <w:i/>
          <w:sz w:val="22"/>
          <w:szCs w:val="22"/>
        </w:rPr>
        <w:t xml:space="preserve">Kajian </w:t>
      </w:r>
      <w:proofErr w:type="spellStart"/>
      <w:r w:rsidRPr="00BC6D6A">
        <w:rPr>
          <w:rFonts w:cs="Times New Roman"/>
          <w:i/>
          <w:sz w:val="22"/>
          <w:szCs w:val="22"/>
        </w:rPr>
        <w:t>Penggunaan</w:t>
      </w:r>
      <w:proofErr w:type="spellEnd"/>
      <w:r w:rsidRPr="00BC6D6A">
        <w:rPr>
          <w:rFonts w:cs="Times New Roman"/>
          <w:i/>
          <w:sz w:val="22"/>
          <w:szCs w:val="22"/>
        </w:rPr>
        <w:t xml:space="preserve"> </w:t>
      </w:r>
      <w:proofErr w:type="spellStart"/>
      <w:r w:rsidRPr="00BC6D6A">
        <w:rPr>
          <w:rFonts w:cs="Times New Roman"/>
          <w:i/>
          <w:sz w:val="22"/>
          <w:szCs w:val="22"/>
        </w:rPr>
        <w:t>Antibiotik</w:t>
      </w:r>
      <w:proofErr w:type="spellEnd"/>
      <w:r w:rsidRPr="00BC6D6A">
        <w:rPr>
          <w:rFonts w:cs="Times New Roman"/>
          <w:i/>
          <w:sz w:val="22"/>
          <w:szCs w:val="22"/>
        </w:rPr>
        <w:t xml:space="preserve"> Pasien Bedah Digestif </w:t>
      </w:r>
      <w:proofErr w:type="spellStart"/>
      <w:r w:rsidRPr="00BC6D6A">
        <w:rPr>
          <w:rFonts w:cs="Times New Roman"/>
          <w:i/>
          <w:sz w:val="22"/>
          <w:szCs w:val="22"/>
        </w:rPr>
        <w:t>Dewasa</w:t>
      </w:r>
      <w:proofErr w:type="spellEnd"/>
      <w:r w:rsidRPr="00BC6D6A">
        <w:rPr>
          <w:rFonts w:cs="Times New Roman"/>
          <w:i/>
          <w:sz w:val="22"/>
          <w:szCs w:val="22"/>
        </w:rPr>
        <w:t xml:space="preserve"> di Rumah Sakit Akademik Universitas Gadjah </w:t>
      </w:r>
      <w:proofErr w:type="spellStart"/>
      <w:r w:rsidRPr="00BC6D6A">
        <w:rPr>
          <w:rFonts w:cs="Times New Roman"/>
          <w:i/>
          <w:sz w:val="22"/>
          <w:szCs w:val="22"/>
        </w:rPr>
        <w:t>Mada</w:t>
      </w:r>
      <w:proofErr w:type="spellEnd"/>
      <w:r w:rsidRPr="00BC6D6A">
        <w:rPr>
          <w:rFonts w:cs="Times New Roman"/>
          <w:sz w:val="22"/>
          <w:szCs w:val="22"/>
        </w:rPr>
        <w:t xml:space="preserve">. </w:t>
      </w:r>
      <w:r w:rsidRPr="00BC6D6A">
        <w:rPr>
          <w:rFonts w:cs="Times New Roman"/>
          <w:i/>
          <w:sz w:val="22"/>
          <w:szCs w:val="22"/>
        </w:rPr>
        <w:t>66</w:t>
      </w:r>
      <w:r w:rsidRPr="00BC6D6A">
        <w:rPr>
          <w:rFonts w:cs="Times New Roman"/>
          <w:sz w:val="22"/>
          <w:szCs w:val="22"/>
        </w:rPr>
        <w:t>, 4–5.</w:t>
      </w:r>
    </w:p>
    <w:p w14:paraId="215DF8E4"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Jones MW. (2023). Appendicitis. In </w:t>
      </w:r>
      <w:r w:rsidRPr="00BC6D6A">
        <w:rPr>
          <w:rFonts w:cs="Times New Roman"/>
          <w:i/>
          <w:sz w:val="22"/>
          <w:szCs w:val="22"/>
        </w:rPr>
        <w:t>Appendicitis</w:t>
      </w:r>
      <w:r w:rsidRPr="00BC6D6A">
        <w:rPr>
          <w:rFonts w:cs="Times New Roman"/>
          <w:sz w:val="22"/>
          <w:szCs w:val="22"/>
        </w:rPr>
        <w:t xml:space="preserve"> (</w:t>
      </w:r>
      <w:proofErr w:type="spellStart"/>
      <w:r w:rsidRPr="00BC6D6A">
        <w:rPr>
          <w:rFonts w:cs="Times New Roman"/>
          <w:sz w:val="22"/>
          <w:szCs w:val="22"/>
        </w:rPr>
        <w:t>january</w:t>
      </w:r>
      <w:proofErr w:type="spellEnd"/>
      <w:r w:rsidRPr="00BC6D6A">
        <w:rPr>
          <w:rFonts w:cs="Times New Roman"/>
          <w:sz w:val="22"/>
          <w:szCs w:val="22"/>
        </w:rPr>
        <w:t xml:space="preserve"> 20). </w:t>
      </w:r>
      <w:proofErr w:type="spellStart"/>
      <w:r w:rsidRPr="00BC6D6A">
        <w:rPr>
          <w:rFonts w:cs="Times New Roman"/>
          <w:sz w:val="22"/>
          <w:szCs w:val="22"/>
        </w:rPr>
        <w:t>StatPearls</w:t>
      </w:r>
      <w:proofErr w:type="spellEnd"/>
      <w:r w:rsidRPr="00BC6D6A">
        <w:rPr>
          <w:rFonts w:cs="Times New Roman"/>
          <w:sz w:val="22"/>
          <w:szCs w:val="22"/>
        </w:rPr>
        <w:t>. https://www.ncbi.nlm.nih.gov/books/NBK493193/</w:t>
      </w:r>
    </w:p>
    <w:p w14:paraId="2D220956"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Katzung, B. G. (2021). Basic &amp; Clinical Pharmacology 14th Edition. In </w:t>
      </w:r>
      <w:r w:rsidRPr="00BC6D6A">
        <w:rPr>
          <w:rFonts w:cs="Times New Roman"/>
          <w:i/>
          <w:sz w:val="22"/>
          <w:szCs w:val="22"/>
        </w:rPr>
        <w:t>Introduction to Basics of Pharmacology and Toxicology: Volume 2: Essentials of Systemic Pharmacology: From Principles to Practice</w:t>
      </w:r>
      <w:r w:rsidRPr="00BC6D6A">
        <w:rPr>
          <w:rFonts w:cs="Times New Roman"/>
          <w:sz w:val="22"/>
          <w:szCs w:val="22"/>
        </w:rPr>
        <w:t xml:space="preserve"> (14th ed., Vol. 2). https://doi.org/10.1007/978-981-33-6009-9_24</w:t>
      </w:r>
    </w:p>
    <w:p w14:paraId="0DCCFF2A"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Kemenkes</w:t>
      </w:r>
      <w:proofErr w:type="spellEnd"/>
      <w:r w:rsidRPr="00BC6D6A">
        <w:rPr>
          <w:rFonts w:cs="Times New Roman"/>
          <w:sz w:val="22"/>
          <w:szCs w:val="22"/>
        </w:rPr>
        <w:t xml:space="preserve"> RI. (2019). </w:t>
      </w:r>
      <w:proofErr w:type="spellStart"/>
      <w:r w:rsidRPr="00BC6D6A">
        <w:rPr>
          <w:rFonts w:cs="Times New Roman"/>
          <w:i/>
          <w:sz w:val="22"/>
          <w:szCs w:val="22"/>
        </w:rPr>
        <w:t>Petunjuk</w:t>
      </w:r>
      <w:proofErr w:type="spellEnd"/>
      <w:r w:rsidRPr="00BC6D6A">
        <w:rPr>
          <w:rFonts w:cs="Times New Roman"/>
          <w:i/>
          <w:sz w:val="22"/>
          <w:szCs w:val="22"/>
        </w:rPr>
        <w:t xml:space="preserve"> Teknis </w:t>
      </w:r>
      <w:proofErr w:type="spellStart"/>
      <w:r w:rsidRPr="00BC6D6A">
        <w:rPr>
          <w:rFonts w:cs="Times New Roman"/>
          <w:i/>
          <w:sz w:val="22"/>
          <w:szCs w:val="22"/>
        </w:rPr>
        <w:t>Standar</w:t>
      </w:r>
      <w:proofErr w:type="spellEnd"/>
      <w:r w:rsidRPr="00BC6D6A">
        <w:rPr>
          <w:rFonts w:cs="Times New Roman"/>
          <w:i/>
          <w:sz w:val="22"/>
          <w:szCs w:val="22"/>
        </w:rPr>
        <w:t xml:space="preserve"> </w:t>
      </w:r>
      <w:proofErr w:type="spellStart"/>
      <w:r w:rsidRPr="00BC6D6A">
        <w:rPr>
          <w:rFonts w:cs="Times New Roman"/>
          <w:i/>
          <w:sz w:val="22"/>
          <w:szCs w:val="22"/>
        </w:rPr>
        <w:t>Pelayanan</w:t>
      </w:r>
      <w:proofErr w:type="spellEnd"/>
      <w:r w:rsidRPr="00BC6D6A">
        <w:rPr>
          <w:rFonts w:cs="Times New Roman"/>
          <w:i/>
          <w:sz w:val="22"/>
          <w:szCs w:val="22"/>
        </w:rPr>
        <w:t xml:space="preserve"> </w:t>
      </w:r>
      <w:proofErr w:type="spellStart"/>
      <w:r w:rsidRPr="00BC6D6A">
        <w:rPr>
          <w:rFonts w:cs="Times New Roman"/>
          <w:i/>
          <w:sz w:val="22"/>
          <w:szCs w:val="22"/>
        </w:rPr>
        <w:t>Kefarmasian</w:t>
      </w:r>
      <w:proofErr w:type="spellEnd"/>
      <w:r w:rsidRPr="00BC6D6A">
        <w:rPr>
          <w:rFonts w:cs="Times New Roman"/>
          <w:i/>
          <w:sz w:val="22"/>
          <w:szCs w:val="22"/>
        </w:rPr>
        <w:t xml:space="preserve"> Di Rumah Sakit</w:t>
      </w:r>
      <w:r w:rsidRPr="00BC6D6A">
        <w:rPr>
          <w:rFonts w:cs="Times New Roman"/>
          <w:sz w:val="22"/>
          <w:szCs w:val="22"/>
        </w:rPr>
        <w:t>. Kementerian Kesehatan RI.</w:t>
      </w:r>
    </w:p>
    <w:p w14:paraId="0C659659"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Kemenkes</w:t>
      </w:r>
      <w:proofErr w:type="spellEnd"/>
      <w:r w:rsidRPr="00BC6D6A">
        <w:rPr>
          <w:rFonts w:cs="Times New Roman"/>
          <w:sz w:val="22"/>
          <w:szCs w:val="22"/>
        </w:rPr>
        <w:t xml:space="preserve"> RI. (2021). </w:t>
      </w:r>
      <w:proofErr w:type="spellStart"/>
      <w:r w:rsidRPr="00BC6D6A">
        <w:rPr>
          <w:rFonts w:cs="Times New Roman"/>
          <w:sz w:val="22"/>
          <w:szCs w:val="22"/>
        </w:rPr>
        <w:t>Pedoman</w:t>
      </w:r>
      <w:proofErr w:type="spellEnd"/>
      <w:r w:rsidRPr="00BC6D6A">
        <w:rPr>
          <w:rFonts w:cs="Times New Roman"/>
          <w:sz w:val="22"/>
          <w:szCs w:val="22"/>
        </w:rPr>
        <w:t xml:space="preserve"> Umum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r w:rsidRPr="00BC6D6A">
        <w:rPr>
          <w:rFonts w:cs="Times New Roman"/>
          <w:i/>
          <w:sz w:val="22"/>
          <w:szCs w:val="22"/>
        </w:rPr>
        <w:t>Journal of Pharmaceutical Analysis</w:t>
      </w:r>
      <w:r w:rsidRPr="00BC6D6A">
        <w:rPr>
          <w:rFonts w:cs="Times New Roman"/>
          <w:sz w:val="22"/>
          <w:szCs w:val="22"/>
        </w:rPr>
        <w:t xml:space="preserve">, </w:t>
      </w:r>
      <w:r w:rsidRPr="00BC6D6A">
        <w:rPr>
          <w:rFonts w:cs="Times New Roman"/>
          <w:i/>
          <w:sz w:val="22"/>
          <w:szCs w:val="22"/>
        </w:rPr>
        <w:t>5</w:t>
      </w:r>
      <w:r w:rsidRPr="00BC6D6A">
        <w:rPr>
          <w:rFonts w:cs="Times New Roman"/>
          <w:sz w:val="22"/>
          <w:szCs w:val="22"/>
        </w:rPr>
        <w:t>(2), 130–136. http://dx.doi.org/10.1016/j.jpha.2015.11.005</w:t>
      </w:r>
    </w:p>
    <w:p w14:paraId="30458EA1"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Lukito</w:t>
      </w:r>
      <w:proofErr w:type="spellEnd"/>
      <w:r w:rsidRPr="00BC6D6A">
        <w:rPr>
          <w:rFonts w:cs="Times New Roman"/>
          <w:sz w:val="22"/>
          <w:szCs w:val="22"/>
        </w:rPr>
        <w:t xml:space="preserve">, J. I. (2019).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pada Tindakan Bedah. </w:t>
      </w:r>
      <w:proofErr w:type="spellStart"/>
      <w:r w:rsidRPr="00BC6D6A">
        <w:rPr>
          <w:rFonts w:cs="Times New Roman"/>
          <w:i/>
          <w:sz w:val="22"/>
          <w:szCs w:val="22"/>
        </w:rPr>
        <w:t>Analisis</w:t>
      </w:r>
      <w:proofErr w:type="spellEnd"/>
      <w:r w:rsidRPr="00BC6D6A">
        <w:rPr>
          <w:rFonts w:cs="Times New Roman"/>
          <w:i/>
          <w:sz w:val="22"/>
          <w:szCs w:val="22"/>
        </w:rPr>
        <w:t xml:space="preserve">-Cermin Dunia </w:t>
      </w:r>
      <w:proofErr w:type="spellStart"/>
      <w:r w:rsidRPr="00BC6D6A">
        <w:rPr>
          <w:rFonts w:cs="Times New Roman"/>
          <w:i/>
          <w:sz w:val="22"/>
          <w:szCs w:val="22"/>
        </w:rPr>
        <w:t>Kedokteran</w:t>
      </w:r>
      <w:proofErr w:type="spellEnd"/>
      <w:r w:rsidRPr="00BC6D6A">
        <w:rPr>
          <w:rFonts w:cs="Times New Roman"/>
          <w:sz w:val="22"/>
          <w:szCs w:val="22"/>
        </w:rPr>
        <w:t xml:space="preserve">, </w:t>
      </w:r>
      <w:r w:rsidRPr="00BC6D6A">
        <w:rPr>
          <w:rFonts w:cs="Times New Roman"/>
          <w:i/>
          <w:sz w:val="22"/>
          <w:szCs w:val="22"/>
        </w:rPr>
        <w:t>46</w:t>
      </w:r>
      <w:r w:rsidRPr="00BC6D6A">
        <w:rPr>
          <w:rFonts w:cs="Times New Roman"/>
          <w:sz w:val="22"/>
          <w:szCs w:val="22"/>
        </w:rPr>
        <w:t>(12), 777–783.</w:t>
      </w:r>
    </w:p>
    <w:p w14:paraId="777D7619"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Maria, G. (2023). Clinical Pharmacology of Ceftriaxone. </w:t>
      </w:r>
      <w:r w:rsidRPr="00BC6D6A">
        <w:rPr>
          <w:rFonts w:cs="Times New Roman"/>
          <w:i/>
          <w:sz w:val="22"/>
          <w:szCs w:val="22"/>
        </w:rPr>
        <w:t>J Pharmaceutics and Pharmacology Research</w:t>
      </w:r>
      <w:r w:rsidRPr="00BC6D6A">
        <w:rPr>
          <w:rFonts w:cs="Times New Roman"/>
          <w:sz w:val="22"/>
          <w:szCs w:val="22"/>
        </w:rPr>
        <w:t xml:space="preserve">, </w:t>
      </w:r>
      <w:r w:rsidRPr="00BC6D6A">
        <w:rPr>
          <w:rFonts w:cs="Times New Roman"/>
          <w:i/>
          <w:sz w:val="22"/>
          <w:szCs w:val="22"/>
        </w:rPr>
        <w:t>6</w:t>
      </w:r>
      <w:r w:rsidRPr="00BC6D6A">
        <w:rPr>
          <w:rFonts w:cs="Times New Roman"/>
          <w:sz w:val="22"/>
          <w:szCs w:val="22"/>
        </w:rPr>
        <w:t>(5), 1–10. https://doi.org/10.31579/269-7247/145</w:t>
      </w:r>
    </w:p>
    <w:p w14:paraId="2328A574"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MIMS. (2024). </w:t>
      </w:r>
      <w:proofErr w:type="gramStart"/>
      <w:r w:rsidRPr="00BC6D6A">
        <w:rPr>
          <w:rFonts w:cs="Times New Roman"/>
          <w:sz w:val="22"/>
          <w:szCs w:val="22"/>
        </w:rPr>
        <w:t>MIMS :</w:t>
      </w:r>
      <w:proofErr w:type="gramEnd"/>
      <w:r w:rsidRPr="00BC6D6A">
        <w:rPr>
          <w:rFonts w:cs="Times New Roman"/>
          <w:sz w:val="22"/>
          <w:szCs w:val="22"/>
        </w:rPr>
        <w:t xml:space="preserve"> Indonesia (Ciprofloxacin). In </w:t>
      </w:r>
      <w:r w:rsidRPr="00BC6D6A">
        <w:rPr>
          <w:rFonts w:cs="Times New Roman"/>
          <w:i/>
          <w:sz w:val="22"/>
          <w:szCs w:val="22"/>
        </w:rPr>
        <w:t>The Monthly Index of Medical Specialities (MIMS)</w:t>
      </w:r>
      <w:r w:rsidRPr="00BC6D6A">
        <w:rPr>
          <w:rFonts w:cs="Times New Roman"/>
          <w:sz w:val="22"/>
          <w:szCs w:val="22"/>
        </w:rPr>
        <w:t>. https://www.mims.com/indonesia/drug/info/ciprofloxacin?mtype=generic</w:t>
      </w:r>
    </w:p>
    <w:p w14:paraId="69601D18"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Permenkes</w:t>
      </w:r>
      <w:proofErr w:type="spellEnd"/>
      <w:r w:rsidRPr="00BC6D6A">
        <w:rPr>
          <w:rFonts w:cs="Times New Roman"/>
          <w:sz w:val="22"/>
          <w:szCs w:val="22"/>
        </w:rPr>
        <w:t xml:space="preserve"> RI. (2021). </w:t>
      </w:r>
      <w:proofErr w:type="spellStart"/>
      <w:r w:rsidRPr="00BC6D6A">
        <w:rPr>
          <w:rFonts w:cs="Times New Roman"/>
          <w:sz w:val="22"/>
          <w:szCs w:val="22"/>
        </w:rPr>
        <w:t>Pedoman</w:t>
      </w:r>
      <w:proofErr w:type="spellEnd"/>
      <w:r w:rsidRPr="00BC6D6A">
        <w:rPr>
          <w:rFonts w:cs="Times New Roman"/>
          <w:sz w:val="22"/>
          <w:szCs w:val="22"/>
        </w:rPr>
        <w:t xml:space="preserve"> </w:t>
      </w:r>
      <w:proofErr w:type="spellStart"/>
      <w:r w:rsidRPr="00BC6D6A">
        <w:rPr>
          <w:rFonts w:cs="Times New Roman"/>
          <w:sz w:val="22"/>
          <w:szCs w:val="22"/>
        </w:rPr>
        <w:t>Penggunaan</w:t>
      </w:r>
      <w:proofErr w:type="spellEnd"/>
      <w:r w:rsidRPr="00BC6D6A">
        <w:rPr>
          <w:rFonts w:cs="Times New Roman"/>
          <w:sz w:val="22"/>
          <w:szCs w:val="22"/>
        </w:rPr>
        <w:t xml:space="preserve"> </w:t>
      </w:r>
      <w:proofErr w:type="spellStart"/>
      <w:r w:rsidRPr="00BC6D6A">
        <w:rPr>
          <w:rFonts w:cs="Times New Roman"/>
          <w:sz w:val="22"/>
          <w:szCs w:val="22"/>
        </w:rPr>
        <w:t>Antibiotik</w:t>
      </w:r>
      <w:proofErr w:type="spellEnd"/>
      <w:r w:rsidRPr="00BC6D6A">
        <w:rPr>
          <w:rFonts w:cs="Times New Roman"/>
          <w:sz w:val="22"/>
          <w:szCs w:val="22"/>
        </w:rPr>
        <w:t xml:space="preserve">. </w:t>
      </w:r>
      <w:proofErr w:type="spellStart"/>
      <w:r w:rsidRPr="00BC6D6A">
        <w:rPr>
          <w:rFonts w:cs="Times New Roman"/>
          <w:i/>
          <w:sz w:val="22"/>
          <w:szCs w:val="22"/>
        </w:rPr>
        <w:t>Permenkes</w:t>
      </w:r>
      <w:proofErr w:type="spellEnd"/>
      <w:r w:rsidRPr="00BC6D6A">
        <w:rPr>
          <w:rFonts w:cs="Times New Roman"/>
          <w:i/>
          <w:sz w:val="22"/>
          <w:szCs w:val="22"/>
        </w:rPr>
        <w:t xml:space="preserve"> RI</w:t>
      </w:r>
      <w:r w:rsidRPr="00BC6D6A">
        <w:rPr>
          <w:rFonts w:cs="Times New Roman"/>
          <w:sz w:val="22"/>
          <w:szCs w:val="22"/>
        </w:rPr>
        <w:t>, 1–97.</w:t>
      </w:r>
    </w:p>
    <w:p w14:paraId="27490646" w14:textId="77777777" w:rsidR="00B46EE3" w:rsidRPr="00BC6D6A" w:rsidRDefault="00000000">
      <w:pPr>
        <w:widowControl w:val="0"/>
        <w:spacing w:after="200"/>
        <w:ind w:left="480" w:hanging="480"/>
        <w:jc w:val="both"/>
        <w:rPr>
          <w:rFonts w:cs="Times New Roman"/>
          <w:sz w:val="22"/>
          <w:szCs w:val="22"/>
        </w:rPr>
      </w:pPr>
      <w:r w:rsidRPr="00BC6D6A">
        <w:rPr>
          <w:rFonts w:cs="Times New Roman"/>
          <w:sz w:val="22"/>
          <w:szCs w:val="22"/>
        </w:rPr>
        <w:t xml:space="preserve">Radji, M. (2016). </w:t>
      </w:r>
      <w:proofErr w:type="spellStart"/>
      <w:r w:rsidRPr="00BC6D6A">
        <w:rPr>
          <w:rFonts w:cs="Times New Roman"/>
          <w:i/>
          <w:sz w:val="22"/>
          <w:szCs w:val="22"/>
        </w:rPr>
        <w:t>Mekanisme</w:t>
      </w:r>
      <w:proofErr w:type="spellEnd"/>
      <w:r w:rsidRPr="00BC6D6A">
        <w:rPr>
          <w:rFonts w:cs="Times New Roman"/>
          <w:i/>
          <w:sz w:val="22"/>
          <w:szCs w:val="22"/>
        </w:rPr>
        <w:t xml:space="preserve"> Aksi </w:t>
      </w:r>
      <w:proofErr w:type="spellStart"/>
      <w:r w:rsidRPr="00BC6D6A">
        <w:rPr>
          <w:rFonts w:cs="Times New Roman"/>
          <w:i/>
          <w:sz w:val="22"/>
          <w:szCs w:val="22"/>
        </w:rPr>
        <w:t>Molekuler</w:t>
      </w:r>
      <w:proofErr w:type="spellEnd"/>
      <w:r w:rsidRPr="00BC6D6A">
        <w:rPr>
          <w:rFonts w:cs="Times New Roman"/>
          <w:i/>
          <w:sz w:val="22"/>
          <w:szCs w:val="22"/>
        </w:rPr>
        <w:t xml:space="preserve"> </w:t>
      </w:r>
      <w:proofErr w:type="spellStart"/>
      <w:r w:rsidRPr="00BC6D6A">
        <w:rPr>
          <w:rFonts w:cs="Times New Roman"/>
          <w:i/>
          <w:sz w:val="22"/>
          <w:szCs w:val="22"/>
        </w:rPr>
        <w:t>Antibiotik</w:t>
      </w:r>
      <w:proofErr w:type="spellEnd"/>
      <w:r w:rsidRPr="00BC6D6A">
        <w:rPr>
          <w:rFonts w:cs="Times New Roman"/>
          <w:i/>
          <w:sz w:val="22"/>
          <w:szCs w:val="22"/>
        </w:rPr>
        <w:t xml:space="preserve"> dan </w:t>
      </w:r>
      <w:proofErr w:type="spellStart"/>
      <w:r w:rsidRPr="00BC6D6A">
        <w:rPr>
          <w:rFonts w:cs="Times New Roman"/>
          <w:i/>
          <w:sz w:val="22"/>
          <w:szCs w:val="22"/>
        </w:rPr>
        <w:t>Kemoterapi</w:t>
      </w:r>
      <w:proofErr w:type="spellEnd"/>
      <w:r w:rsidRPr="00BC6D6A">
        <w:rPr>
          <w:rFonts w:cs="Times New Roman"/>
          <w:sz w:val="22"/>
          <w:szCs w:val="22"/>
        </w:rPr>
        <w:t xml:space="preserve"> (N. </w:t>
      </w:r>
      <w:proofErr w:type="spellStart"/>
      <w:r w:rsidRPr="00BC6D6A">
        <w:rPr>
          <w:rFonts w:cs="Times New Roman"/>
          <w:sz w:val="22"/>
          <w:szCs w:val="22"/>
        </w:rPr>
        <w:t>Nirwanto</w:t>
      </w:r>
      <w:proofErr w:type="spellEnd"/>
      <w:r w:rsidRPr="00BC6D6A">
        <w:rPr>
          <w:rFonts w:cs="Times New Roman"/>
          <w:sz w:val="22"/>
          <w:szCs w:val="22"/>
        </w:rPr>
        <w:t xml:space="preserve">, </w:t>
      </w:r>
      <w:proofErr w:type="spellStart"/>
      <w:proofErr w:type="gramStart"/>
      <w:r w:rsidRPr="00BC6D6A">
        <w:rPr>
          <w:rFonts w:cs="Times New Roman"/>
          <w:sz w:val="22"/>
          <w:szCs w:val="22"/>
        </w:rPr>
        <w:t>Redho</w:t>
      </w:r>
      <w:proofErr w:type="spellEnd"/>
      <w:r w:rsidRPr="00BC6D6A">
        <w:rPr>
          <w:rFonts w:cs="Times New Roman"/>
          <w:sz w:val="22"/>
          <w:szCs w:val="22"/>
        </w:rPr>
        <w:t> ;</w:t>
      </w:r>
      <w:proofErr w:type="gramEnd"/>
      <w:r w:rsidRPr="00BC6D6A">
        <w:rPr>
          <w:rFonts w:cs="Times New Roman"/>
          <w:sz w:val="22"/>
          <w:szCs w:val="22"/>
        </w:rPr>
        <w:t xml:space="preserve"> </w:t>
      </w:r>
      <w:proofErr w:type="spellStart"/>
      <w:r w:rsidRPr="00BC6D6A">
        <w:rPr>
          <w:rFonts w:cs="Times New Roman"/>
          <w:sz w:val="22"/>
          <w:szCs w:val="22"/>
        </w:rPr>
        <w:t>Afifaf</w:t>
      </w:r>
      <w:proofErr w:type="spellEnd"/>
      <w:r w:rsidRPr="00BC6D6A">
        <w:rPr>
          <w:rFonts w:cs="Times New Roman"/>
          <w:sz w:val="22"/>
          <w:szCs w:val="22"/>
        </w:rPr>
        <w:t xml:space="preserve"> (ed.)). </w:t>
      </w:r>
      <w:proofErr w:type="spellStart"/>
      <w:r w:rsidRPr="00BC6D6A">
        <w:rPr>
          <w:rFonts w:cs="Times New Roman"/>
          <w:sz w:val="22"/>
          <w:szCs w:val="22"/>
        </w:rPr>
        <w:t>Buku</w:t>
      </w:r>
      <w:proofErr w:type="spellEnd"/>
      <w:r w:rsidRPr="00BC6D6A">
        <w:rPr>
          <w:rFonts w:cs="Times New Roman"/>
          <w:sz w:val="22"/>
          <w:szCs w:val="22"/>
        </w:rPr>
        <w:t xml:space="preserve"> </w:t>
      </w:r>
      <w:proofErr w:type="spellStart"/>
      <w:r w:rsidRPr="00BC6D6A">
        <w:rPr>
          <w:rFonts w:cs="Times New Roman"/>
          <w:sz w:val="22"/>
          <w:szCs w:val="22"/>
        </w:rPr>
        <w:t>Kedokteran</w:t>
      </w:r>
      <w:proofErr w:type="spellEnd"/>
      <w:r w:rsidRPr="00BC6D6A">
        <w:rPr>
          <w:rFonts w:cs="Times New Roman"/>
          <w:sz w:val="22"/>
          <w:szCs w:val="22"/>
        </w:rPr>
        <w:t xml:space="preserve"> EGC.</w:t>
      </w:r>
    </w:p>
    <w:p w14:paraId="37827C21" w14:textId="70C2D7AA"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Rusdiana</w:t>
      </w:r>
      <w:proofErr w:type="spellEnd"/>
      <w:r w:rsidRPr="00BC6D6A">
        <w:rPr>
          <w:rFonts w:cs="Times New Roman"/>
          <w:sz w:val="22"/>
          <w:szCs w:val="22"/>
        </w:rPr>
        <w:t>,</w:t>
      </w:r>
      <w:r w:rsidR="00E255CE">
        <w:rPr>
          <w:rFonts w:cs="Times New Roman"/>
          <w:sz w:val="22"/>
          <w:szCs w:val="22"/>
        </w:rPr>
        <w:t xml:space="preserve"> </w:t>
      </w:r>
      <w:r w:rsidRPr="00BC6D6A">
        <w:rPr>
          <w:rFonts w:cs="Times New Roman"/>
          <w:sz w:val="22"/>
          <w:szCs w:val="22"/>
        </w:rPr>
        <w:t xml:space="preserve">et al. (2014). </w:t>
      </w:r>
      <w:proofErr w:type="spellStart"/>
      <w:r w:rsidRPr="00BC6D6A">
        <w:rPr>
          <w:rFonts w:cs="Times New Roman"/>
          <w:i/>
          <w:sz w:val="22"/>
          <w:szCs w:val="22"/>
        </w:rPr>
        <w:t>Evaluasi</w:t>
      </w:r>
      <w:proofErr w:type="spellEnd"/>
      <w:r w:rsidRPr="00BC6D6A">
        <w:rPr>
          <w:rFonts w:cs="Times New Roman"/>
          <w:i/>
          <w:sz w:val="22"/>
          <w:szCs w:val="22"/>
        </w:rPr>
        <w:t xml:space="preserve"> </w:t>
      </w:r>
      <w:proofErr w:type="spellStart"/>
      <w:r w:rsidRPr="00BC6D6A">
        <w:rPr>
          <w:rFonts w:cs="Times New Roman"/>
          <w:i/>
          <w:sz w:val="22"/>
          <w:szCs w:val="22"/>
        </w:rPr>
        <w:t>Penggunaan</w:t>
      </w:r>
      <w:proofErr w:type="spellEnd"/>
      <w:r w:rsidRPr="00BC6D6A">
        <w:rPr>
          <w:rFonts w:cs="Times New Roman"/>
          <w:i/>
          <w:sz w:val="22"/>
          <w:szCs w:val="22"/>
        </w:rPr>
        <w:t xml:space="preserve"> </w:t>
      </w:r>
      <w:proofErr w:type="spellStart"/>
      <w:r w:rsidRPr="00BC6D6A">
        <w:rPr>
          <w:rFonts w:cs="Times New Roman"/>
          <w:i/>
          <w:sz w:val="22"/>
          <w:szCs w:val="22"/>
        </w:rPr>
        <w:t>Antibiotika</w:t>
      </w:r>
      <w:proofErr w:type="spellEnd"/>
      <w:r w:rsidRPr="00BC6D6A">
        <w:rPr>
          <w:rFonts w:cs="Times New Roman"/>
          <w:i/>
          <w:sz w:val="22"/>
          <w:szCs w:val="22"/>
        </w:rPr>
        <w:t xml:space="preserve"> </w:t>
      </w:r>
      <w:proofErr w:type="spellStart"/>
      <w:r w:rsidRPr="00BC6D6A">
        <w:rPr>
          <w:rFonts w:cs="Times New Roman"/>
          <w:i/>
          <w:sz w:val="22"/>
          <w:szCs w:val="22"/>
        </w:rPr>
        <w:t>Profilaksis</w:t>
      </w:r>
      <w:proofErr w:type="spellEnd"/>
      <w:r w:rsidRPr="00BC6D6A">
        <w:rPr>
          <w:rFonts w:cs="Times New Roman"/>
          <w:i/>
          <w:sz w:val="22"/>
          <w:szCs w:val="22"/>
        </w:rPr>
        <w:t xml:space="preserve"> Pada Pasien Bedah Sesar </w:t>
      </w:r>
      <w:proofErr w:type="spellStart"/>
      <w:r w:rsidRPr="00BC6D6A">
        <w:rPr>
          <w:rFonts w:cs="Times New Roman"/>
          <w:i/>
          <w:sz w:val="22"/>
          <w:szCs w:val="22"/>
        </w:rPr>
        <w:t>Terencana</w:t>
      </w:r>
      <w:proofErr w:type="spellEnd"/>
      <w:r w:rsidRPr="00BC6D6A">
        <w:rPr>
          <w:rFonts w:cs="Times New Roman"/>
          <w:i/>
          <w:sz w:val="22"/>
          <w:szCs w:val="22"/>
        </w:rPr>
        <w:t xml:space="preserve"> Di Rumah Sakit Ibu Dan Anak “X” Di Tangerang</w:t>
      </w:r>
      <w:r w:rsidRPr="00BC6D6A">
        <w:rPr>
          <w:rFonts w:cs="Times New Roman"/>
          <w:sz w:val="22"/>
          <w:szCs w:val="22"/>
        </w:rPr>
        <w:t xml:space="preserve">. </w:t>
      </w:r>
      <w:r w:rsidRPr="00BC6D6A">
        <w:rPr>
          <w:rFonts w:cs="Times New Roman"/>
          <w:i/>
          <w:sz w:val="22"/>
          <w:szCs w:val="22"/>
        </w:rPr>
        <w:t>1</w:t>
      </w:r>
      <w:r w:rsidRPr="00BC6D6A">
        <w:rPr>
          <w:rFonts w:cs="Times New Roman"/>
          <w:sz w:val="22"/>
          <w:szCs w:val="22"/>
        </w:rPr>
        <w:t>(August), 1–43.</w:t>
      </w:r>
    </w:p>
    <w:p w14:paraId="23E0C985"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lastRenderedPageBreak/>
        <w:t>Vessal</w:t>
      </w:r>
      <w:proofErr w:type="spellEnd"/>
      <w:r w:rsidRPr="00BC6D6A">
        <w:rPr>
          <w:rFonts w:cs="Times New Roman"/>
          <w:sz w:val="22"/>
          <w:szCs w:val="22"/>
        </w:rPr>
        <w:t xml:space="preserve">, G., Namazi, S., </w:t>
      </w:r>
      <w:proofErr w:type="spellStart"/>
      <w:r w:rsidRPr="00BC6D6A">
        <w:rPr>
          <w:rFonts w:cs="Times New Roman"/>
          <w:sz w:val="22"/>
          <w:szCs w:val="22"/>
        </w:rPr>
        <w:t>Davarpanah</w:t>
      </w:r>
      <w:proofErr w:type="spellEnd"/>
      <w:r w:rsidRPr="00BC6D6A">
        <w:rPr>
          <w:rFonts w:cs="Times New Roman"/>
          <w:sz w:val="22"/>
          <w:szCs w:val="22"/>
        </w:rPr>
        <w:t xml:space="preserve">, M. A., &amp; </w:t>
      </w:r>
      <w:proofErr w:type="spellStart"/>
      <w:r w:rsidRPr="00BC6D6A">
        <w:rPr>
          <w:rFonts w:cs="Times New Roman"/>
          <w:sz w:val="22"/>
          <w:szCs w:val="22"/>
        </w:rPr>
        <w:t>Foroughinia</w:t>
      </w:r>
      <w:proofErr w:type="spellEnd"/>
      <w:r w:rsidRPr="00BC6D6A">
        <w:rPr>
          <w:rFonts w:cs="Times New Roman"/>
          <w:sz w:val="22"/>
          <w:szCs w:val="22"/>
        </w:rPr>
        <w:t xml:space="preserve">, F. (2011). Evaluation of prophylactic antibiotic administration at the surgical ward of a major referral hospital, Islamic republic of Iran. </w:t>
      </w:r>
      <w:r w:rsidRPr="00BC6D6A">
        <w:rPr>
          <w:rFonts w:cs="Times New Roman"/>
          <w:i/>
          <w:sz w:val="22"/>
          <w:szCs w:val="22"/>
        </w:rPr>
        <w:t>Eastern Mediterranean Health Journal</w:t>
      </w:r>
      <w:r w:rsidRPr="00BC6D6A">
        <w:rPr>
          <w:rFonts w:cs="Times New Roman"/>
          <w:sz w:val="22"/>
          <w:szCs w:val="22"/>
        </w:rPr>
        <w:t xml:space="preserve">, </w:t>
      </w:r>
      <w:r w:rsidRPr="00BC6D6A">
        <w:rPr>
          <w:rFonts w:cs="Times New Roman"/>
          <w:i/>
          <w:sz w:val="22"/>
          <w:szCs w:val="22"/>
        </w:rPr>
        <w:t>17</w:t>
      </w:r>
      <w:r w:rsidRPr="00BC6D6A">
        <w:rPr>
          <w:rFonts w:cs="Times New Roman"/>
          <w:sz w:val="22"/>
          <w:szCs w:val="22"/>
        </w:rPr>
        <w:t>(8), 663–667. https://doi.org/10.26719/2011.17.8.663</w:t>
      </w:r>
    </w:p>
    <w:p w14:paraId="019FAA65"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Warganegara</w:t>
      </w:r>
      <w:proofErr w:type="spellEnd"/>
      <w:r w:rsidRPr="00BC6D6A">
        <w:rPr>
          <w:rFonts w:cs="Times New Roman"/>
          <w:sz w:val="22"/>
          <w:szCs w:val="22"/>
        </w:rPr>
        <w:t xml:space="preserve">, E., </w:t>
      </w:r>
      <w:proofErr w:type="spellStart"/>
      <w:r w:rsidRPr="00BC6D6A">
        <w:rPr>
          <w:rFonts w:cs="Times New Roman"/>
          <w:sz w:val="22"/>
          <w:szCs w:val="22"/>
        </w:rPr>
        <w:t>Apriliana</w:t>
      </w:r>
      <w:proofErr w:type="spellEnd"/>
      <w:r w:rsidRPr="00BC6D6A">
        <w:rPr>
          <w:rFonts w:cs="Times New Roman"/>
          <w:sz w:val="22"/>
          <w:szCs w:val="22"/>
        </w:rPr>
        <w:t xml:space="preserve">, E., &amp; </w:t>
      </w:r>
      <w:proofErr w:type="spellStart"/>
      <w:r w:rsidRPr="00BC6D6A">
        <w:rPr>
          <w:rFonts w:cs="Times New Roman"/>
          <w:sz w:val="22"/>
          <w:szCs w:val="22"/>
        </w:rPr>
        <w:t>Ardiansyah</w:t>
      </w:r>
      <w:proofErr w:type="spellEnd"/>
      <w:r w:rsidRPr="00BC6D6A">
        <w:rPr>
          <w:rFonts w:cs="Times New Roman"/>
          <w:sz w:val="22"/>
          <w:szCs w:val="22"/>
        </w:rPr>
        <w:t xml:space="preserve">, R. (2012). </w:t>
      </w:r>
      <w:proofErr w:type="spellStart"/>
      <w:r w:rsidRPr="00BC6D6A">
        <w:rPr>
          <w:rFonts w:cs="Times New Roman"/>
          <w:sz w:val="22"/>
          <w:szCs w:val="22"/>
        </w:rPr>
        <w:t>Identifikasi</w:t>
      </w:r>
      <w:proofErr w:type="spellEnd"/>
      <w:r w:rsidRPr="00BC6D6A">
        <w:rPr>
          <w:rFonts w:cs="Times New Roman"/>
          <w:sz w:val="22"/>
          <w:szCs w:val="22"/>
        </w:rPr>
        <w:t xml:space="preserve"> </w:t>
      </w:r>
      <w:proofErr w:type="spellStart"/>
      <w:r w:rsidRPr="00BC6D6A">
        <w:rPr>
          <w:rFonts w:cs="Times New Roman"/>
          <w:sz w:val="22"/>
          <w:szCs w:val="22"/>
        </w:rPr>
        <w:t>Bakteri</w:t>
      </w:r>
      <w:proofErr w:type="spellEnd"/>
      <w:r w:rsidRPr="00BC6D6A">
        <w:rPr>
          <w:rFonts w:cs="Times New Roman"/>
          <w:sz w:val="22"/>
          <w:szCs w:val="22"/>
        </w:rPr>
        <w:t xml:space="preserve"> </w:t>
      </w:r>
      <w:proofErr w:type="spellStart"/>
      <w:r w:rsidRPr="00BC6D6A">
        <w:rPr>
          <w:rFonts w:cs="Times New Roman"/>
          <w:sz w:val="22"/>
          <w:szCs w:val="22"/>
        </w:rPr>
        <w:t>Penyebab</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w:t>
      </w:r>
      <w:proofErr w:type="gramStart"/>
      <w:r w:rsidRPr="00BC6D6A">
        <w:rPr>
          <w:rFonts w:cs="Times New Roman"/>
          <w:sz w:val="22"/>
          <w:szCs w:val="22"/>
        </w:rPr>
        <w:t>( ILO</w:t>
      </w:r>
      <w:proofErr w:type="gramEnd"/>
      <w:r w:rsidRPr="00BC6D6A">
        <w:rPr>
          <w:rFonts w:cs="Times New Roman"/>
          <w:sz w:val="22"/>
          <w:szCs w:val="22"/>
        </w:rPr>
        <w:t xml:space="preserve"> ) </w:t>
      </w:r>
      <w:proofErr w:type="spellStart"/>
      <w:r w:rsidRPr="00BC6D6A">
        <w:rPr>
          <w:rFonts w:cs="Times New Roman"/>
          <w:sz w:val="22"/>
          <w:szCs w:val="22"/>
        </w:rPr>
        <w:t>Nosokomial</w:t>
      </w:r>
      <w:proofErr w:type="spellEnd"/>
      <w:r w:rsidRPr="00BC6D6A">
        <w:rPr>
          <w:rFonts w:cs="Times New Roman"/>
          <w:sz w:val="22"/>
          <w:szCs w:val="22"/>
        </w:rPr>
        <w:t xml:space="preserve"> Pada Ruang Rawat </w:t>
      </w:r>
      <w:proofErr w:type="spellStart"/>
      <w:r w:rsidRPr="00BC6D6A">
        <w:rPr>
          <w:rFonts w:cs="Times New Roman"/>
          <w:sz w:val="22"/>
          <w:szCs w:val="22"/>
        </w:rPr>
        <w:t>Inap</w:t>
      </w:r>
      <w:proofErr w:type="spellEnd"/>
      <w:r w:rsidRPr="00BC6D6A">
        <w:rPr>
          <w:rFonts w:cs="Times New Roman"/>
          <w:sz w:val="22"/>
          <w:szCs w:val="22"/>
        </w:rPr>
        <w:t xml:space="preserve"> Bedah dan </w:t>
      </w:r>
      <w:proofErr w:type="spellStart"/>
      <w:r w:rsidRPr="00BC6D6A">
        <w:rPr>
          <w:rFonts w:cs="Times New Roman"/>
          <w:sz w:val="22"/>
          <w:szCs w:val="22"/>
        </w:rPr>
        <w:t>Kebidanan</w:t>
      </w:r>
      <w:proofErr w:type="spellEnd"/>
      <w:r w:rsidRPr="00BC6D6A">
        <w:rPr>
          <w:rFonts w:cs="Times New Roman"/>
          <w:sz w:val="22"/>
          <w:szCs w:val="22"/>
        </w:rPr>
        <w:t xml:space="preserve"> RSAM di Bandar Lampung. </w:t>
      </w:r>
      <w:proofErr w:type="spellStart"/>
      <w:r w:rsidRPr="00BC6D6A">
        <w:rPr>
          <w:rFonts w:cs="Times New Roman"/>
          <w:i/>
          <w:sz w:val="22"/>
          <w:szCs w:val="22"/>
        </w:rPr>
        <w:t>Prosiding</w:t>
      </w:r>
      <w:proofErr w:type="spellEnd"/>
      <w:r w:rsidRPr="00BC6D6A">
        <w:rPr>
          <w:rFonts w:cs="Times New Roman"/>
          <w:i/>
          <w:sz w:val="22"/>
          <w:szCs w:val="22"/>
        </w:rPr>
        <w:t xml:space="preserve"> SNSMAIP III</w:t>
      </w:r>
      <w:r w:rsidRPr="00BC6D6A">
        <w:rPr>
          <w:rFonts w:cs="Times New Roman"/>
          <w:sz w:val="22"/>
          <w:szCs w:val="22"/>
        </w:rPr>
        <w:t xml:space="preserve">, </w:t>
      </w:r>
      <w:r w:rsidRPr="00BC6D6A">
        <w:rPr>
          <w:rFonts w:cs="Times New Roman"/>
          <w:i/>
          <w:sz w:val="22"/>
          <w:szCs w:val="22"/>
        </w:rPr>
        <w:t>978</w:t>
      </w:r>
      <w:r w:rsidRPr="00BC6D6A">
        <w:rPr>
          <w:rFonts w:cs="Times New Roman"/>
          <w:sz w:val="22"/>
          <w:szCs w:val="22"/>
        </w:rPr>
        <w:t>-</w:t>
      </w:r>
      <w:r w:rsidRPr="00BC6D6A">
        <w:rPr>
          <w:rFonts w:cs="Times New Roman"/>
          <w:i/>
          <w:sz w:val="22"/>
          <w:szCs w:val="22"/>
        </w:rPr>
        <w:t>602</w:t>
      </w:r>
      <w:r w:rsidRPr="00BC6D6A">
        <w:rPr>
          <w:rFonts w:cs="Times New Roman"/>
          <w:sz w:val="22"/>
          <w:szCs w:val="22"/>
        </w:rPr>
        <w:t>-</w:t>
      </w:r>
      <w:r w:rsidRPr="00BC6D6A">
        <w:rPr>
          <w:rFonts w:cs="Times New Roman"/>
          <w:i/>
          <w:sz w:val="22"/>
          <w:szCs w:val="22"/>
        </w:rPr>
        <w:t>98559</w:t>
      </w:r>
      <w:r w:rsidRPr="00BC6D6A">
        <w:rPr>
          <w:rFonts w:cs="Times New Roman"/>
          <w:sz w:val="22"/>
          <w:szCs w:val="22"/>
        </w:rPr>
        <w:t>-</w:t>
      </w:r>
      <w:r w:rsidRPr="00BC6D6A">
        <w:rPr>
          <w:rFonts w:cs="Times New Roman"/>
          <w:i/>
          <w:sz w:val="22"/>
          <w:szCs w:val="22"/>
        </w:rPr>
        <w:t>1</w:t>
      </w:r>
      <w:r w:rsidRPr="00BC6D6A">
        <w:rPr>
          <w:rFonts w:cs="Times New Roman"/>
          <w:sz w:val="22"/>
          <w:szCs w:val="22"/>
        </w:rPr>
        <w:t>–</w:t>
      </w:r>
      <w:r w:rsidRPr="00BC6D6A">
        <w:rPr>
          <w:rFonts w:cs="Times New Roman"/>
          <w:i/>
          <w:sz w:val="22"/>
          <w:szCs w:val="22"/>
        </w:rPr>
        <w:t>3</w:t>
      </w:r>
      <w:r w:rsidRPr="00BC6D6A">
        <w:rPr>
          <w:rFonts w:cs="Times New Roman"/>
          <w:sz w:val="22"/>
          <w:szCs w:val="22"/>
        </w:rPr>
        <w:t>, 344–348.</w:t>
      </w:r>
    </w:p>
    <w:p w14:paraId="65588535" w14:textId="77777777" w:rsidR="00B46EE3" w:rsidRPr="00BC6D6A" w:rsidRDefault="00000000">
      <w:pPr>
        <w:widowControl w:val="0"/>
        <w:spacing w:after="200"/>
        <w:ind w:left="480" w:hanging="480"/>
        <w:jc w:val="both"/>
        <w:rPr>
          <w:rFonts w:cs="Times New Roman"/>
          <w:sz w:val="22"/>
          <w:szCs w:val="22"/>
        </w:rPr>
      </w:pPr>
      <w:proofErr w:type="spellStart"/>
      <w:r w:rsidRPr="00BC6D6A">
        <w:rPr>
          <w:rFonts w:cs="Times New Roman"/>
          <w:sz w:val="22"/>
          <w:szCs w:val="22"/>
        </w:rPr>
        <w:t>Zunnita</w:t>
      </w:r>
      <w:proofErr w:type="spellEnd"/>
      <w:r w:rsidRPr="00BC6D6A">
        <w:rPr>
          <w:rFonts w:cs="Times New Roman"/>
          <w:sz w:val="22"/>
          <w:szCs w:val="22"/>
        </w:rPr>
        <w:t xml:space="preserve">, O., </w:t>
      </w:r>
      <w:proofErr w:type="spellStart"/>
      <w:r w:rsidRPr="00BC6D6A">
        <w:rPr>
          <w:rFonts w:cs="Times New Roman"/>
          <w:sz w:val="22"/>
          <w:szCs w:val="22"/>
        </w:rPr>
        <w:t>Sumarny</w:t>
      </w:r>
      <w:proofErr w:type="spellEnd"/>
      <w:r w:rsidRPr="00BC6D6A">
        <w:rPr>
          <w:rFonts w:cs="Times New Roman"/>
          <w:sz w:val="22"/>
          <w:szCs w:val="22"/>
        </w:rPr>
        <w:t xml:space="preserve">, R., &amp; </w:t>
      </w:r>
      <w:proofErr w:type="spellStart"/>
      <w:r w:rsidRPr="00BC6D6A">
        <w:rPr>
          <w:rFonts w:cs="Times New Roman"/>
          <w:sz w:val="22"/>
          <w:szCs w:val="22"/>
        </w:rPr>
        <w:t>Kumalawati</w:t>
      </w:r>
      <w:proofErr w:type="spellEnd"/>
      <w:r w:rsidRPr="00BC6D6A">
        <w:rPr>
          <w:rFonts w:cs="Times New Roman"/>
          <w:sz w:val="22"/>
          <w:szCs w:val="22"/>
        </w:rPr>
        <w:t xml:space="preserve">, J. (2019). </w:t>
      </w:r>
      <w:proofErr w:type="spellStart"/>
      <w:r w:rsidRPr="00BC6D6A">
        <w:rPr>
          <w:rFonts w:cs="Times New Roman"/>
          <w:sz w:val="22"/>
          <w:szCs w:val="22"/>
        </w:rPr>
        <w:t>Pengaruh</w:t>
      </w:r>
      <w:proofErr w:type="spellEnd"/>
      <w:r w:rsidRPr="00BC6D6A">
        <w:rPr>
          <w:rFonts w:cs="Times New Roman"/>
          <w:sz w:val="22"/>
          <w:szCs w:val="22"/>
        </w:rPr>
        <w:t xml:space="preserve"> </w:t>
      </w:r>
      <w:proofErr w:type="spellStart"/>
      <w:r w:rsidRPr="00BC6D6A">
        <w:rPr>
          <w:rFonts w:cs="Times New Roman"/>
          <w:sz w:val="22"/>
          <w:szCs w:val="22"/>
        </w:rPr>
        <w:t>Antibiotika</w:t>
      </w:r>
      <w:proofErr w:type="spellEnd"/>
      <w:r w:rsidRPr="00BC6D6A">
        <w:rPr>
          <w:rFonts w:cs="Times New Roman"/>
          <w:sz w:val="22"/>
          <w:szCs w:val="22"/>
        </w:rPr>
        <w:t xml:space="preserve"> </w:t>
      </w:r>
      <w:proofErr w:type="spellStart"/>
      <w:r w:rsidRPr="00BC6D6A">
        <w:rPr>
          <w:rFonts w:cs="Times New Roman"/>
          <w:sz w:val="22"/>
          <w:szCs w:val="22"/>
        </w:rPr>
        <w:t>Profilaksis</w:t>
      </w:r>
      <w:proofErr w:type="spellEnd"/>
      <w:r w:rsidRPr="00BC6D6A">
        <w:rPr>
          <w:rFonts w:cs="Times New Roman"/>
          <w:sz w:val="22"/>
          <w:szCs w:val="22"/>
        </w:rPr>
        <w:t xml:space="preserve"> </w:t>
      </w:r>
      <w:proofErr w:type="spellStart"/>
      <w:r w:rsidRPr="00BC6D6A">
        <w:rPr>
          <w:rFonts w:cs="Times New Roman"/>
          <w:sz w:val="22"/>
          <w:szCs w:val="22"/>
        </w:rPr>
        <w:t>Terhadap</w:t>
      </w:r>
      <w:proofErr w:type="spellEnd"/>
      <w:r w:rsidRPr="00BC6D6A">
        <w:rPr>
          <w:rFonts w:cs="Times New Roman"/>
          <w:sz w:val="22"/>
          <w:szCs w:val="22"/>
        </w:rPr>
        <w:t xml:space="preserve"> </w:t>
      </w:r>
      <w:proofErr w:type="spellStart"/>
      <w:r w:rsidRPr="00BC6D6A">
        <w:rPr>
          <w:rFonts w:cs="Times New Roman"/>
          <w:sz w:val="22"/>
          <w:szCs w:val="22"/>
        </w:rPr>
        <w:t>Kejadian</w:t>
      </w:r>
      <w:proofErr w:type="spellEnd"/>
      <w:r w:rsidRPr="00BC6D6A">
        <w:rPr>
          <w:rFonts w:cs="Times New Roman"/>
          <w:sz w:val="22"/>
          <w:szCs w:val="22"/>
        </w:rPr>
        <w:t xml:space="preserve"> </w:t>
      </w:r>
      <w:proofErr w:type="spellStart"/>
      <w:r w:rsidRPr="00BC6D6A">
        <w:rPr>
          <w:rFonts w:cs="Times New Roman"/>
          <w:sz w:val="22"/>
          <w:szCs w:val="22"/>
        </w:rPr>
        <w:t>Infeksi</w:t>
      </w:r>
      <w:proofErr w:type="spellEnd"/>
      <w:r w:rsidRPr="00BC6D6A">
        <w:rPr>
          <w:rFonts w:cs="Times New Roman"/>
          <w:sz w:val="22"/>
          <w:szCs w:val="22"/>
        </w:rPr>
        <w:t xml:space="preserve"> Luka </w:t>
      </w:r>
      <w:proofErr w:type="spellStart"/>
      <w:r w:rsidRPr="00BC6D6A">
        <w:rPr>
          <w:rFonts w:cs="Times New Roman"/>
          <w:sz w:val="22"/>
          <w:szCs w:val="22"/>
        </w:rPr>
        <w:t>Operasi</w:t>
      </w:r>
      <w:proofErr w:type="spellEnd"/>
      <w:r w:rsidRPr="00BC6D6A">
        <w:rPr>
          <w:rFonts w:cs="Times New Roman"/>
          <w:sz w:val="22"/>
          <w:szCs w:val="22"/>
        </w:rPr>
        <w:t xml:space="preserve">. </w:t>
      </w:r>
      <w:r w:rsidRPr="00BC6D6A">
        <w:rPr>
          <w:rFonts w:cs="Times New Roman"/>
          <w:i/>
          <w:sz w:val="22"/>
          <w:szCs w:val="22"/>
        </w:rPr>
        <w:t xml:space="preserve">FITOFARMAKA: </w:t>
      </w:r>
      <w:proofErr w:type="spellStart"/>
      <w:r w:rsidRPr="00BC6D6A">
        <w:rPr>
          <w:rFonts w:cs="Times New Roman"/>
          <w:i/>
          <w:sz w:val="22"/>
          <w:szCs w:val="22"/>
        </w:rPr>
        <w:t>Jurnal</w:t>
      </w:r>
      <w:proofErr w:type="spellEnd"/>
      <w:r w:rsidRPr="00BC6D6A">
        <w:rPr>
          <w:rFonts w:cs="Times New Roman"/>
          <w:i/>
          <w:sz w:val="22"/>
          <w:szCs w:val="22"/>
        </w:rPr>
        <w:t xml:space="preserve"> </w:t>
      </w:r>
      <w:proofErr w:type="spellStart"/>
      <w:r w:rsidRPr="00BC6D6A">
        <w:rPr>
          <w:rFonts w:cs="Times New Roman"/>
          <w:i/>
          <w:sz w:val="22"/>
          <w:szCs w:val="22"/>
        </w:rPr>
        <w:t>Ilmiah</w:t>
      </w:r>
      <w:proofErr w:type="spellEnd"/>
      <w:r w:rsidRPr="00BC6D6A">
        <w:rPr>
          <w:rFonts w:cs="Times New Roman"/>
          <w:i/>
          <w:sz w:val="22"/>
          <w:szCs w:val="22"/>
        </w:rPr>
        <w:t xml:space="preserve"> Farmasi</w:t>
      </w:r>
      <w:r w:rsidRPr="00BC6D6A">
        <w:rPr>
          <w:rFonts w:cs="Times New Roman"/>
          <w:sz w:val="22"/>
          <w:szCs w:val="22"/>
        </w:rPr>
        <w:t xml:space="preserve">, </w:t>
      </w:r>
      <w:r w:rsidRPr="00BC6D6A">
        <w:rPr>
          <w:rFonts w:cs="Times New Roman"/>
          <w:i/>
          <w:sz w:val="22"/>
          <w:szCs w:val="22"/>
        </w:rPr>
        <w:t>8</w:t>
      </w:r>
      <w:r w:rsidRPr="00BC6D6A">
        <w:rPr>
          <w:rFonts w:cs="Times New Roman"/>
          <w:sz w:val="22"/>
          <w:szCs w:val="22"/>
        </w:rPr>
        <w:t>(1), 39–44. https://doi.org/10.33751/jf.v8i1.1170</w:t>
      </w:r>
    </w:p>
    <w:p w14:paraId="0FFB3C04" w14:textId="77777777" w:rsidR="00B46EE3" w:rsidRPr="00BC6D6A" w:rsidRDefault="00B46EE3">
      <w:pPr>
        <w:pBdr>
          <w:top w:val="nil"/>
          <w:left w:val="nil"/>
          <w:bottom w:val="nil"/>
          <w:right w:val="nil"/>
          <w:between w:val="nil"/>
        </w:pBdr>
        <w:spacing w:after="200"/>
        <w:ind w:firstLine="426"/>
        <w:jc w:val="both"/>
        <w:rPr>
          <w:rFonts w:cs="Times New Roman"/>
          <w:color w:val="000000"/>
          <w:sz w:val="22"/>
          <w:szCs w:val="22"/>
        </w:rPr>
      </w:pPr>
    </w:p>
    <w:p w14:paraId="343A2AC3" w14:textId="77777777" w:rsidR="00B46EE3" w:rsidRPr="00BC6D6A" w:rsidRDefault="00000000">
      <w:pPr>
        <w:tabs>
          <w:tab w:val="left" w:pos="426"/>
        </w:tabs>
        <w:ind w:left="426" w:right="57" w:hanging="426"/>
        <w:jc w:val="both"/>
        <w:rPr>
          <w:rFonts w:cs="Times New Roman"/>
          <w:sz w:val="22"/>
          <w:szCs w:val="22"/>
        </w:rPr>
      </w:pPr>
      <w:r w:rsidRPr="00BC6D6A">
        <w:rPr>
          <w:rFonts w:cs="Times New Roman"/>
          <w:sz w:val="22"/>
          <w:szCs w:val="22"/>
        </w:rPr>
        <w:t xml:space="preserve"> </w:t>
      </w:r>
    </w:p>
    <w:sectPr w:rsidR="00B46EE3" w:rsidRPr="00BC6D6A">
      <w:headerReference w:type="default" r:id="rId7"/>
      <w:footerReference w:type="default" r:id="rId8"/>
      <w:headerReference w:type="first" r:id="rId9"/>
      <w:footerReference w:type="first" r:id="rId10"/>
      <w:pgSz w:w="11907" w:h="16840"/>
      <w:pgMar w:top="1418" w:right="1134"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FC77A" w14:textId="77777777" w:rsidR="00C67F6B" w:rsidRDefault="00C67F6B">
      <w:r>
        <w:separator/>
      </w:r>
    </w:p>
  </w:endnote>
  <w:endnote w:type="continuationSeparator" w:id="0">
    <w:p w14:paraId="106979C9" w14:textId="77777777" w:rsidR="00C67F6B" w:rsidRDefault="00C6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72A12" w14:textId="6EB5CC2B" w:rsidR="00B46EE3" w:rsidRPr="00A1532A" w:rsidRDefault="00A1532A">
    <w:pPr>
      <w:pBdr>
        <w:top w:val="nil"/>
        <w:left w:val="nil"/>
        <w:bottom w:val="nil"/>
        <w:right w:val="nil"/>
        <w:between w:val="nil"/>
      </w:pBdr>
      <w:tabs>
        <w:tab w:val="center" w:pos="4680"/>
        <w:tab w:val="right" w:pos="9360"/>
      </w:tabs>
      <w:jc w:val="center"/>
      <w:rPr>
        <w:color w:val="000000"/>
        <w:lang w:val="en-GB"/>
      </w:rPr>
    </w:pPr>
    <w:r>
      <w:rPr>
        <w:color w:val="000000"/>
        <w:lang w:val="en-GB"/>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33ED3" w14:textId="77777777" w:rsidR="00B46EE3" w:rsidRDefault="00000000">
    <w:pPr>
      <w:pBdr>
        <w:top w:val="nil"/>
        <w:left w:val="nil"/>
        <w:bottom w:val="nil"/>
        <w:right w:val="nil"/>
        <w:between w:val="nil"/>
      </w:pBdr>
      <w:tabs>
        <w:tab w:val="center" w:pos="4680"/>
        <w:tab w:val="right" w:pos="9360"/>
      </w:tabs>
      <w:rPr>
        <w:color w:val="000000"/>
      </w:rPr>
    </w:pPr>
    <w:r>
      <w:rPr>
        <w:color w:val="000000"/>
      </w:rPr>
      <w:t xml:space="preserve"> </w:t>
    </w:r>
  </w:p>
  <w:tbl>
    <w:tblPr>
      <w:tblStyle w:val="ab"/>
      <w:tblW w:w="4678" w:type="dxa"/>
      <w:tblBorders>
        <w:top w:val="nil"/>
        <w:left w:val="nil"/>
        <w:bottom w:val="nil"/>
        <w:right w:val="nil"/>
        <w:insideH w:val="nil"/>
        <w:insideV w:val="nil"/>
      </w:tblBorders>
      <w:tblLayout w:type="fixed"/>
      <w:tblLook w:val="0400" w:firstRow="0" w:lastRow="0" w:firstColumn="0" w:lastColumn="0" w:noHBand="0" w:noVBand="1"/>
    </w:tblPr>
    <w:tblGrid>
      <w:gridCol w:w="426"/>
      <w:gridCol w:w="4252"/>
    </w:tblGrid>
    <w:tr w:rsidR="00B46EE3" w14:paraId="5C202E45" w14:textId="77777777">
      <w:trPr>
        <w:trHeight w:val="232"/>
      </w:trPr>
      <w:tc>
        <w:tcPr>
          <w:tcW w:w="426" w:type="dxa"/>
        </w:tcPr>
        <w:p w14:paraId="0C1DFF8B" w14:textId="0DC0C776" w:rsidR="00B46EE3" w:rsidRDefault="00B46EE3">
          <w:pPr>
            <w:pBdr>
              <w:top w:val="nil"/>
              <w:left w:val="nil"/>
              <w:bottom w:val="nil"/>
              <w:right w:val="nil"/>
              <w:between w:val="nil"/>
            </w:pBdr>
            <w:tabs>
              <w:tab w:val="center" w:pos="4680"/>
              <w:tab w:val="right" w:pos="9360"/>
            </w:tabs>
            <w:rPr>
              <w:color w:val="000000"/>
            </w:rPr>
          </w:pPr>
        </w:p>
      </w:tc>
      <w:tc>
        <w:tcPr>
          <w:tcW w:w="4252" w:type="dxa"/>
        </w:tcPr>
        <w:p w14:paraId="75E137A2" w14:textId="35DD8193" w:rsidR="00B46EE3" w:rsidRDefault="00B46EE3">
          <w:pPr>
            <w:pBdr>
              <w:top w:val="nil"/>
              <w:left w:val="nil"/>
              <w:bottom w:val="nil"/>
              <w:right w:val="nil"/>
              <w:between w:val="nil"/>
            </w:pBdr>
            <w:tabs>
              <w:tab w:val="center" w:pos="4680"/>
              <w:tab w:val="right" w:pos="9360"/>
            </w:tabs>
            <w:ind w:left="-78"/>
            <w:rPr>
              <w:color w:val="000000"/>
              <w:sz w:val="18"/>
              <w:szCs w:val="18"/>
            </w:rPr>
          </w:pPr>
        </w:p>
      </w:tc>
    </w:tr>
  </w:tbl>
  <w:p w14:paraId="599C06F9" w14:textId="77777777" w:rsidR="00B46EE3" w:rsidRDefault="00B46EE3">
    <w:pPr>
      <w:pBdr>
        <w:top w:val="nil"/>
        <w:left w:val="nil"/>
        <w:bottom w:val="nil"/>
        <w:right w:val="nil"/>
        <w:between w:val="nil"/>
      </w:pBdr>
      <w:tabs>
        <w:tab w:val="center" w:pos="4680"/>
        <w:tab w:val="right" w:pos="9360"/>
      </w:tabs>
      <w:rPr>
        <w:color w:val="000000"/>
      </w:rPr>
    </w:pPr>
  </w:p>
  <w:p w14:paraId="51C46C9A" w14:textId="77777777" w:rsidR="00B46EE3" w:rsidRDefault="00B46EE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9D3F6" w14:textId="77777777" w:rsidR="00C67F6B" w:rsidRDefault="00C67F6B">
      <w:r>
        <w:separator/>
      </w:r>
    </w:p>
  </w:footnote>
  <w:footnote w:type="continuationSeparator" w:id="0">
    <w:p w14:paraId="23C6A9E4" w14:textId="77777777" w:rsidR="00C67F6B" w:rsidRDefault="00C67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ABF7D" w14:textId="77777777" w:rsidR="00B46EE3" w:rsidRDefault="00B46EE3">
    <w:pPr>
      <w:widowControl w:val="0"/>
      <w:pBdr>
        <w:top w:val="nil"/>
        <w:left w:val="nil"/>
        <w:bottom w:val="nil"/>
        <w:right w:val="nil"/>
        <w:between w:val="nil"/>
      </w:pBdr>
      <w:spacing w:line="276" w:lineRule="auto"/>
      <w:rPr>
        <w:color w:val="000000"/>
      </w:rPr>
    </w:pPr>
  </w:p>
  <w:tbl>
    <w:tblPr>
      <w:tblStyle w:val="aa"/>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BC6D6A" w14:paraId="3216B6CD" w14:textId="77777777" w:rsidTr="00BB4345">
      <w:tc>
        <w:tcPr>
          <w:tcW w:w="878" w:type="dxa"/>
          <w:vMerge w:val="restart"/>
        </w:tcPr>
        <w:p w14:paraId="6AE52E7E" w14:textId="77777777" w:rsidR="00BC6D6A" w:rsidRDefault="00BC6D6A" w:rsidP="00BC6D6A">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4CAC8983" wp14:editId="12244B5F">
                <wp:extent cx="443077" cy="443077"/>
                <wp:effectExtent l="0" t="0" r="0" b="0"/>
                <wp:docPr id="5546981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7535993F" w14:textId="77777777" w:rsidR="00BC6D6A" w:rsidRDefault="00BC6D6A" w:rsidP="00BC6D6A">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2445014C" w14:textId="77777777" w:rsidR="00BC6D6A" w:rsidRDefault="00BC6D6A" w:rsidP="00BC6D6A">
          <w:pPr>
            <w:pBdr>
              <w:top w:val="nil"/>
              <w:left w:val="nil"/>
              <w:bottom w:val="nil"/>
              <w:right w:val="nil"/>
              <w:between w:val="nil"/>
            </w:pBdr>
            <w:tabs>
              <w:tab w:val="center" w:pos="4680"/>
              <w:tab w:val="right" w:pos="9360"/>
            </w:tabs>
            <w:jc w:val="right"/>
            <w:rPr>
              <w:color w:val="000000"/>
            </w:rPr>
          </w:pPr>
        </w:p>
        <w:p w14:paraId="064F7A62" w14:textId="77777777" w:rsidR="00BC6D6A" w:rsidRDefault="00BC6D6A" w:rsidP="00BC6D6A">
          <w:pPr>
            <w:pBdr>
              <w:top w:val="nil"/>
              <w:left w:val="nil"/>
              <w:bottom w:val="nil"/>
              <w:right w:val="nil"/>
              <w:between w:val="nil"/>
            </w:pBdr>
            <w:tabs>
              <w:tab w:val="center" w:pos="4680"/>
              <w:tab w:val="right" w:pos="9360"/>
            </w:tabs>
            <w:jc w:val="right"/>
            <w:rPr>
              <w:color w:val="000000"/>
            </w:rPr>
          </w:pPr>
          <w:proofErr w:type="spellStart"/>
          <w:r>
            <w:rPr>
              <w:color w:val="000000"/>
            </w:rPr>
            <w:t>Jurnal</w:t>
          </w:r>
          <w:proofErr w:type="spellEnd"/>
          <w:r>
            <w:rPr>
              <w:color w:val="000000"/>
            </w:rPr>
            <w:t xml:space="preserve"> Farmasi, Kesehatan dan Sains (FASKES)</w:t>
          </w:r>
        </w:p>
      </w:tc>
    </w:tr>
    <w:tr w:rsidR="00BC6D6A" w14:paraId="096D99A8" w14:textId="77777777" w:rsidTr="00BB4345">
      <w:tc>
        <w:tcPr>
          <w:tcW w:w="878" w:type="dxa"/>
          <w:vMerge/>
        </w:tcPr>
        <w:p w14:paraId="2C6FAEF7" w14:textId="77777777" w:rsidR="00BC6D6A" w:rsidRDefault="00BC6D6A" w:rsidP="00BC6D6A">
          <w:pPr>
            <w:widowControl w:val="0"/>
            <w:pBdr>
              <w:top w:val="nil"/>
              <w:left w:val="nil"/>
              <w:bottom w:val="nil"/>
              <w:right w:val="nil"/>
              <w:between w:val="nil"/>
            </w:pBdr>
            <w:spacing w:line="276" w:lineRule="auto"/>
            <w:rPr>
              <w:color w:val="000000"/>
            </w:rPr>
          </w:pPr>
        </w:p>
      </w:tc>
      <w:tc>
        <w:tcPr>
          <w:tcW w:w="8057" w:type="dxa"/>
        </w:tcPr>
        <w:p w14:paraId="53980110" w14:textId="77777777" w:rsidR="00BC6D6A" w:rsidRDefault="00BC6D6A" w:rsidP="00BC6D6A">
          <w:pPr>
            <w:pBdr>
              <w:top w:val="nil"/>
              <w:left w:val="nil"/>
              <w:bottom w:val="nil"/>
              <w:right w:val="nil"/>
              <w:between w:val="nil"/>
            </w:pBdr>
            <w:tabs>
              <w:tab w:val="center" w:pos="4680"/>
              <w:tab w:val="right" w:pos="9360"/>
            </w:tabs>
            <w:jc w:val="right"/>
            <w:rPr>
              <w:color w:val="000000"/>
            </w:rPr>
          </w:pPr>
          <w:r>
            <w:rPr>
              <w:color w:val="000000"/>
            </w:rPr>
            <w:t>Vol. 2 No 1, (Juli, 2024), P-</w:t>
          </w:r>
          <w:proofErr w:type="gramStart"/>
          <w:r>
            <w:rPr>
              <w:color w:val="000000"/>
            </w:rPr>
            <w:t>ISSN :</w:t>
          </w:r>
          <w:proofErr w:type="gramEnd"/>
          <w:r>
            <w:rPr>
              <w:color w:val="000000"/>
            </w:rPr>
            <w:t xml:space="preserve"> 3025-1508, E-ISSN : 2987-9841</w:t>
          </w:r>
          <w:r>
            <w:rPr>
              <w:noProof/>
            </w:rPr>
            <mc:AlternateContent>
              <mc:Choice Requires="wps">
                <w:drawing>
                  <wp:anchor distT="0" distB="0" distL="114300" distR="114300" simplePos="0" relativeHeight="251661312" behindDoc="0" locked="0" layoutInCell="1" hidden="0" allowOverlap="1" wp14:anchorId="156C3AC1" wp14:editId="7416BD46">
                    <wp:simplePos x="0" y="0"/>
                    <wp:positionH relativeFrom="column">
                      <wp:posOffset>-50799</wp:posOffset>
                    </wp:positionH>
                    <wp:positionV relativeFrom="paragraph">
                      <wp:posOffset>0</wp:posOffset>
                    </wp:positionV>
                    <wp:extent cx="0" cy="19050"/>
                    <wp:effectExtent l="0" t="0" r="0" b="0"/>
                    <wp:wrapNone/>
                    <wp:docPr id="1831960833" name="Straight Arrow Connector 1831960833"/>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w:pict>
                  <v:shapetype w14:anchorId="1D5048FB" id="_x0000_t32" coordsize="21600,21600" o:spt="32" o:oned="t" path="m,l21600,21600e" filled="f">
                    <v:path arrowok="t" fillok="f" o:connecttype="none"/>
                    <o:lock v:ext="edit" shapetype="t"/>
                  </v:shapetype>
                  <v:shape id="Straight Arrow Connector 1831960833" o:spid="_x0000_s1026" type="#_x0000_t32" style="position:absolute;margin-left:-4pt;margin-top:0;width:0;height: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" strokecolor="black [3200]" strokeweight="1.5pt">
                    <v:stroke startarrowwidth="narrow" startarrowlength="short" endarrowwidth="narrow" endarrowlength="short" linestyle="thinThin" joinstyle="miter"/>
                  </v:shape>
                </w:pict>
              </mc:Fallback>
            </mc:AlternateContent>
          </w:r>
        </w:p>
      </w:tc>
    </w:tr>
  </w:tbl>
  <w:p w14:paraId="3EE2D560" w14:textId="77777777" w:rsidR="00B46EE3" w:rsidRDefault="00B46EE3" w:rsidP="00BC6D6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5FB16E" w14:textId="77777777" w:rsidR="00B46EE3" w:rsidRDefault="00B46EE3">
    <w:pPr>
      <w:widowControl w:val="0"/>
      <w:pBdr>
        <w:top w:val="nil"/>
        <w:left w:val="nil"/>
        <w:bottom w:val="nil"/>
        <w:right w:val="nil"/>
        <w:between w:val="nil"/>
      </w:pBdr>
      <w:spacing w:line="276" w:lineRule="auto"/>
      <w:rPr>
        <w:sz w:val="22"/>
        <w:szCs w:val="22"/>
      </w:rPr>
    </w:pPr>
  </w:p>
  <w:tbl>
    <w:tblPr>
      <w:tblStyle w:val="aa"/>
      <w:tblW w:w="8935" w:type="dxa"/>
      <w:tblInd w:w="137" w:type="dxa"/>
      <w:tblBorders>
        <w:top w:val="nil"/>
        <w:left w:val="nil"/>
        <w:bottom w:val="nil"/>
        <w:right w:val="nil"/>
        <w:insideH w:val="nil"/>
        <w:insideV w:val="nil"/>
      </w:tblBorders>
      <w:tblLayout w:type="fixed"/>
      <w:tblLook w:val="0400" w:firstRow="0" w:lastRow="0" w:firstColumn="0" w:lastColumn="0" w:noHBand="0" w:noVBand="1"/>
    </w:tblPr>
    <w:tblGrid>
      <w:gridCol w:w="878"/>
      <w:gridCol w:w="8057"/>
    </w:tblGrid>
    <w:tr w:rsidR="00B46EE3" w14:paraId="5247DEF8" w14:textId="77777777">
      <w:tc>
        <w:tcPr>
          <w:tcW w:w="878" w:type="dxa"/>
          <w:vMerge w:val="restart"/>
        </w:tcPr>
        <w:p w14:paraId="66268C78" w14:textId="77777777" w:rsidR="00B46EE3"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6DE2EDCC" wp14:editId="35C9AF6F">
                <wp:extent cx="443077" cy="443077"/>
                <wp:effectExtent l="0" t="0" r="0" b="0"/>
                <wp:docPr id="17819985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3077" cy="443077"/>
                        </a:xfrm>
                        <a:prstGeom prst="rect">
                          <a:avLst/>
                        </a:prstGeom>
                        <a:ln/>
                      </pic:spPr>
                    </pic:pic>
                  </a:graphicData>
                </a:graphic>
              </wp:inline>
            </w:drawing>
          </w:r>
        </w:p>
        <w:p w14:paraId="6FE7CAAE" w14:textId="77777777" w:rsidR="00B46EE3" w:rsidRDefault="00000000">
          <w:pPr>
            <w:pBdr>
              <w:top w:val="nil"/>
              <w:left w:val="nil"/>
              <w:bottom w:val="nil"/>
              <w:right w:val="nil"/>
              <w:between w:val="nil"/>
            </w:pBdr>
            <w:tabs>
              <w:tab w:val="center" w:pos="4680"/>
              <w:tab w:val="right" w:pos="9360"/>
            </w:tabs>
            <w:jc w:val="center"/>
            <w:rPr>
              <w:rFonts w:ascii="Calibri" w:eastAsia="Calibri" w:hAnsi="Calibri" w:cs="Calibri"/>
              <w:color w:val="000000"/>
            </w:rPr>
          </w:pPr>
          <w:r>
            <w:rPr>
              <w:rFonts w:ascii="Calibri" w:eastAsia="Calibri" w:hAnsi="Calibri" w:cs="Calibri"/>
              <w:color w:val="000000"/>
            </w:rPr>
            <w:t>FASKES</w:t>
          </w:r>
        </w:p>
      </w:tc>
      <w:tc>
        <w:tcPr>
          <w:tcW w:w="8057" w:type="dxa"/>
        </w:tcPr>
        <w:p w14:paraId="2A57756A" w14:textId="77777777" w:rsidR="00B46EE3" w:rsidRDefault="00B46EE3">
          <w:pPr>
            <w:pBdr>
              <w:top w:val="nil"/>
              <w:left w:val="nil"/>
              <w:bottom w:val="nil"/>
              <w:right w:val="nil"/>
              <w:between w:val="nil"/>
            </w:pBdr>
            <w:tabs>
              <w:tab w:val="center" w:pos="4680"/>
              <w:tab w:val="right" w:pos="9360"/>
            </w:tabs>
            <w:jc w:val="right"/>
            <w:rPr>
              <w:color w:val="000000"/>
            </w:rPr>
          </w:pPr>
        </w:p>
        <w:p w14:paraId="78403540" w14:textId="77777777" w:rsidR="00B46EE3" w:rsidRDefault="00000000">
          <w:pPr>
            <w:pBdr>
              <w:top w:val="nil"/>
              <w:left w:val="nil"/>
              <w:bottom w:val="nil"/>
              <w:right w:val="nil"/>
              <w:between w:val="nil"/>
            </w:pBdr>
            <w:tabs>
              <w:tab w:val="center" w:pos="4680"/>
              <w:tab w:val="right" w:pos="9360"/>
            </w:tabs>
            <w:jc w:val="right"/>
            <w:rPr>
              <w:color w:val="000000"/>
            </w:rPr>
          </w:pPr>
          <w:proofErr w:type="spellStart"/>
          <w:r>
            <w:rPr>
              <w:color w:val="000000"/>
            </w:rPr>
            <w:t>Jurnal</w:t>
          </w:r>
          <w:proofErr w:type="spellEnd"/>
          <w:r>
            <w:rPr>
              <w:color w:val="000000"/>
            </w:rPr>
            <w:t xml:space="preserve"> Farmasi, Kesehatan dan Sains (FASKES)</w:t>
          </w:r>
        </w:p>
      </w:tc>
    </w:tr>
    <w:tr w:rsidR="00B46EE3" w14:paraId="65C72B49" w14:textId="77777777">
      <w:tc>
        <w:tcPr>
          <w:tcW w:w="878" w:type="dxa"/>
          <w:vMerge/>
        </w:tcPr>
        <w:p w14:paraId="2A41C0B6" w14:textId="77777777" w:rsidR="00B46EE3" w:rsidRDefault="00B46EE3">
          <w:pPr>
            <w:widowControl w:val="0"/>
            <w:pBdr>
              <w:top w:val="nil"/>
              <w:left w:val="nil"/>
              <w:bottom w:val="nil"/>
              <w:right w:val="nil"/>
              <w:between w:val="nil"/>
            </w:pBdr>
            <w:spacing w:line="276" w:lineRule="auto"/>
            <w:rPr>
              <w:color w:val="000000"/>
            </w:rPr>
          </w:pPr>
        </w:p>
      </w:tc>
      <w:tc>
        <w:tcPr>
          <w:tcW w:w="8057" w:type="dxa"/>
        </w:tcPr>
        <w:p w14:paraId="378AE02F" w14:textId="77777777" w:rsidR="00B46EE3" w:rsidRDefault="00000000">
          <w:pPr>
            <w:pBdr>
              <w:top w:val="nil"/>
              <w:left w:val="nil"/>
              <w:bottom w:val="nil"/>
              <w:right w:val="nil"/>
              <w:between w:val="nil"/>
            </w:pBdr>
            <w:tabs>
              <w:tab w:val="center" w:pos="4680"/>
              <w:tab w:val="right" w:pos="9360"/>
            </w:tabs>
            <w:jc w:val="right"/>
            <w:rPr>
              <w:color w:val="000000"/>
            </w:rPr>
          </w:pPr>
          <w:r>
            <w:rPr>
              <w:color w:val="000000"/>
            </w:rPr>
            <w:t>Vol. 2 No 1, (Juli, 2024), P-</w:t>
          </w:r>
          <w:proofErr w:type="gramStart"/>
          <w:r>
            <w:rPr>
              <w:color w:val="000000"/>
            </w:rPr>
            <w:t>ISSN :</w:t>
          </w:r>
          <w:proofErr w:type="gramEnd"/>
          <w:r>
            <w:rPr>
              <w:color w:val="000000"/>
            </w:rPr>
            <w:t xml:space="preserve"> 3025-1508, E-ISSN : 2987-9841</w:t>
          </w:r>
          <w:r>
            <w:rPr>
              <w:noProof/>
            </w:rPr>
            <mc:AlternateContent>
              <mc:Choice Requires="wps">
                <w:drawing>
                  <wp:anchor distT="0" distB="0" distL="114300" distR="114300" simplePos="0" relativeHeight="251659264" behindDoc="0" locked="0" layoutInCell="1" hidden="0" allowOverlap="1" wp14:anchorId="155C06C6" wp14:editId="067C9E6B">
                    <wp:simplePos x="0" y="0"/>
                    <wp:positionH relativeFrom="column">
                      <wp:posOffset>-50799</wp:posOffset>
                    </wp:positionH>
                    <wp:positionV relativeFrom="paragraph">
                      <wp:posOffset>0</wp:posOffset>
                    </wp:positionV>
                    <wp:extent cx="0" cy="19050"/>
                    <wp:effectExtent l="0" t="0" r="0" b="0"/>
                    <wp:wrapNone/>
                    <wp:docPr id="1781998533" name="Straight Arrow Connector 1781998533"/>
                    <wp:cNvGraphicFramePr/>
                    <a:graphic xmlns:a="http://schemas.openxmlformats.org/drawingml/2006/main">
                      <a:graphicData uri="http://schemas.microsoft.com/office/word/2010/wordprocessingShape">
                        <wps:wsp>
                          <wps:cNvCnPr/>
                          <wps:spPr>
                            <a:xfrm>
                              <a:off x="2802190" y="3780000"/>
                              <a:ext cx="5087620" cy="0"/>
                            </a:xfrm>
                            <a:prstGeom prst="straightConnector1">
                              <a:avLst/>
                            </a:prstGeom>
                            <a:noFill/>
                            <a:ln w="19050" cap="flat" cmpd="dbl">
                              <a:solidFill>
                                <a:schemeClr val="dk1"/>
                              </a:solidFill>
                              <a:prstDash val="solid"/>
                              <a:miter lim="800000"/>
                              <a:headEnd type="none" w="sm" len="sm"/>
                              <a:tailEnd type="none" w="sm" len="sm"/>
                            </a:ln>
                          </wps:spPr>
                          <wps:bodyPr/>
                        </wps:wsp>
                      </a:graphicData>
                    </a:graphic>
                  </wp:anchor>
                </w:drawing>
              </mc:Choice>
              <mc:Fallback xmlns:cr="http://schemas.microsoft.com/office/comments/2020/reaction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0" cy="19050"/>
                    <wp:effectExtent b="0" l="0" r="0" t="0"/>
                    <wp:wrapNone/>
                    <wp:docPr id="17819985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0" cy="19050"/>
                            </a:xfrm>
                            <a:prstGeom prst="rect"/>
                            <a:ln/>
                          </pic:spPr>
                        </pic:pic>
                      </a:graphicData>
                    </a:graphic>
                  </wp:anchor>
                </w:drawing>
              </mc:Fallback>
            </mc:AlternateContent>
          </w:r>
        </w:p>
      </w:tc>
    </w:tr>
  </w:tbl>
  <w:p w14:paraId="24D482E9" w14:textId="77777777" w:rsidR="00B46EE3" w:rsidRDefault="00B46EE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E3"/>
    <w:rsid w:val="00205A59"/>
    <w:rsid w:val="002D4D4E"/>
    <w:rsid w:val="00417C84"/>
    <w:rsid w:val="005929CB"/>
    <w:rsid w:val="005965AE"/>
    <w:rsid w:val="007F680D"/>
    <w:rsid w:val="008E7858"/>
    <w:rsid w:val="009B64B6"/>
    <w:rsid w:val="00A1532A"/>
    <w:rsid w:val="00B46EE3"/>
    <w:rsid w:val="00BC6D6A"/>
    <w:rsid w:val="00C67F6B"/>
    <w:rsid w:val="00CC0748"/>
    <w:rsid w:val="00DE6A71"/>
    <w:rsid w:val="00E255CE"/>
    <w:rsid w:val="00E82E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915F"/>
  <w15:docId w15:val="{118D6DC8-7D84-4166-858E-CFEEFDD7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249"/>
    <w:pPr>
      <w:overflowPunct w:val="0"/>
      <w:autoSpaceDE w:val="0"/>
      <w:autoSpaceDN w:val="0"/>
      <w:adjustRightInd w:val="0"/>
      <w:textAlignment w:val="baseline"/>
    </w:pPr>
    <w:rPr>
      <w:rFonts w:eastAsia="PMingLiU" w:cs="Times"/>
      <w:lang w:eastAsia="zh-TW"/>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41524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15249"/>
    <w:pPr>
      <w:tabs>
        <w:tab w:val="center" w:pos="4680"/>
        <w:tab w:val="right" w:pos="9360"/>
      </w:tabs>
    </w:pPr>
  </w:style>
  <w:style w:type="character" w:customStyle="1" w:styleId="HeaderChar">
    <w:name w:val="Header Char"/>
    <w:basedOn w:val="DefaultParagraphFont"/>
    <w:link w:val="Header"/>
    <w:uiPriority w:val="99"/>
    <w:rsid w:val="00415249"/>
    <w:rPr>
      <w:rFonts w:ascii="Times New Roman" w:eastAsia="PMingLiU" w:hAnsi="Times New Roman" w:cs="Times"/>
      <w:sz w:val="20"/>
      <w:szCs w:val="20"/>
      <w:lang w:val="en-AU" w:eastAsia="zh-TW"/>
    </w:rPr>
  </w:style>
  <w:style w:type="table" w:styleId="TableGrid">
    <w:name w:val="Table Grid"/>
    <w:basedOn w:val="TableNormal"/>
    <w:uiPriority w:val="39"/>
    <w:rsid w:val="00415249"/>
    <w:rPr>
      <w:rFonts w:eastAsiaTheme="minorEastAsia"/>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dong">
    <w:name w:val="My Style dong"/>
    <w:basedOn w:val="Normal"/>
    <w:link w:val="MyStyledongChar"/>
    <w:qFormat/>
    <w:rsid w:val="00415249"/>
    <w:pPr>
      <w:jc w:val="center"/>
      <w:outlineLvl w:val="0"/>
    </w:pPr>
    <w:rPr>
      <w:rFonts w:eastAsiaTheme="minorEastAsia" w:cs="Times New Roman"/>
      <w:b/>
      <w:sz w:val="52"/>
      <w:szCs w:val="52"/>
      <w:lang w:eastAsia="ko-KR"/>
    </w:rPr>
  </w:style>
  <w:style w:type="character" w:customStyle="1" w:styleId="MyStyledongChar">
    <w:name w:val="My Style dong Char"/>
    <w:basedOn w:val="DefaultParagraphFont"/>
    <w:link w:val="MyStyledong"/>
    <w:rsid w:val="00415249"/>
    <w:rPr>
      <w:rFonts w:ascii="Times New Roman" w:eastAsiaTheme="minorEastAsia" w:hAnsi="Times New Roman" w:cs="Times New Roman"/>
      <w:b/>
      <w:sz w:val="52"/>
      <w:szCs w:val="52"/>
      <w:lang w:val="en-AU" w:eastAsia="ko-KR"/>
    </w:rPr>
  </w:style>
  <w:style w:type="character" w:customStyle="1" w:styleId="Heading3Char">
    <w:name w:val="Heading 3 Char"/>
    <w:basedOn w:val="DefaultParagraphFont"/>
    <w:link w:val="Heading3"/>
    <w:uiPriority w:val="9"/>
    <w:semiHidden/>
    <w:rsid w:val="00415249"/>
    <w:rPr>
      <w:rFonts w:asciiTheme="majorHAnsi" w:eastAsiaTheme="majorEastAsia" w:hAnsiTheme="majorHAnsi" w:cstheme="majorBidi"/>
      <w:b/>
      <w:bCs/>
      <w:color w:val="4472C4" w:themeColor="accent1"/>
      <w:sz w:val="20"/>
      <w:szCs w:val="20"/>
      <w:lang w:val="en-AU" w:eastAsia="zh-TW"/>
    </w:rPr>
  </w:style>
  <w:style w:type="paragraph" w:customStyle="1" w:styleId="myaddress">
    <w:name w:val="myaddress"/>
    <w:basedOn w:val="Normal"/>
    <w:rsid w:val="00415249"/>
    <w:pPr>
      <w:suppressAutoHyphens/>
      <w:overflowPunct/>
      <w:autoSpaceDE/>
      <w:autoSpaceDN/>
      <w:adjustRightInd/>
      <w:jc w:val="center"/>
      <w:textAlignment w:val="auto"/>
    </w:pPr>
    <w:rPr>
      <w:rFonts w:eastAsia="Times New Roman"/>
      <w:szCs w:val="18"/>
      <w:lang w:val="en-US" w:eastAsia="ar-SA"/>
    </w:rPr>
  </w:style>
  <w:style w:type="character" w:styleId="Hyperlink">
    <w:name w:val="Hyperlink"/>
    <w:basedOn w:val="DefaultParagraphFont"/>
    <w:uiPriority w:val="99"/>
    <w:unhideWhenUsed/>
    <w:rsid w:val="00415249"/>
    <w:rPr>
      <w:color w:val="0563C1" w:themeColor="hyperlink"/>
      <w:u w:val="single"/>
    </w:rPr>
  </w:style>
  <w:style w:type="paragraph" w:styleId="Footer">
    <w:name w:val="footer"/>
    <w:basedOn w:val="Normal"/>
    <w:link w:val="FooterChar"/>
    <w:uiPriority w:val="99"/>
    <w:unhideWhenUsed/>
    <w:rsid w:val="005E4DCA"/>
    <w:pPr>
      <w:tabs>
        <w:tab w:val="center" w:pos="4680"/>
        <w:tab w:val="right" w:pos="9360"/>
      </w:tabs>
    </w:pPr>
  </w:style>
  <w:style w:type="character" w:customStyle="1" w:styleId="FooterChar">
    <w:name w:val="Footer Char"/>
    <w:basedOn w:val="DefaultParagraphFont"/>
    <w:link w:val="Footer"/>
    <w:uiPriority w:val="99"/>
    <w:rsid w:val="005E4DCA"/>
    <w:rPr>
      <w:rFonts w:ascii="Times New Roman" w:eastAsia="PMingLiU" w:hAnsi="Times New Roman" w:cs="Times"/>
      <w:sz w:val="20"/>
      <w:szCs w:val="20"/>
      <w:lang w:val="en-AU" w:eastAsia="zh-TW"/>
    </w:rPr>
  </w:style>
  <w:style w:type="paragraph" w:styleId="ListParagraph">
    <w:name w:val="List Paragraph"/>
    <w:basedOn w:val="Normal"/>
    <w:uiPriority w:val="34"/>
    <w:qFormat/>
    <w:rsid w:val="00E9349D"/>
    <w:pPr>
      <w:overflowPunct/>
      <w:autoSpaceDE/>
      <w:autoSpaceDN/>
      <w:adjustRightInd/>
      <w:spacing w:after="160" w:line="259" w:lineRule="auto"/>
      <w:ind w:left="720"/>
      <w:contextualSpacing/>
      <w:textAlignment w:val="auto"/>
    </w:pPr>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263AE4"/>
    <w:rPr>
      <w:rFonts w:ascii="Tahoma" w:hAnsi="Tahoma" w:cs="Tahoma"/>
      <w:sz w:val="16"/>
      <w:szCs w:val="16"/>
    </w:rPr>
  </w:style>
  <w:style w:type="character" w:customStyle="1" w:styleId="BalloonTextChar">
    <w:name w:val="Balloon Text Char"/>
    <w:basedOn w:val="DefaultParagraphFont"/>
    <w:link w:val="BalloonText"/>
    <w:uiPriority w:val="99"/>
    <w:semiHidden/>
    <w:rsid w:val="00263AE4"/>
    <w:rPr>
      <w:rFonts w:ascii="Tahoma" w:eastAsia="PMingLiU" w:hAnsi="Tahoma" w:cs="Tahoma"/>
      <w:sz w:val="16"/>
      <w:szCs w:val="16"/>
      <w:lang w:val="en-AU" w:eastAsia="zh-TW"/>
    </w:rPr>
  </w:style>
  <w:style w:type="character" w:styleId="Emphasis">
    <w:name w:val="Emphasis"/>
    <w:basedOn w:val="DefaultParagraphFont"/>
    <w:uiPriority w:val="20"/>
    <w:qFormat/>
    <w:rsid w:val="00BF4804"/>
    <w:rPr>
      <w:i/>
      <w:iCs/>
    </w:rPr>
  </w:style>
  <w:style w:type="paragraph" w:styleId="NormalWeb">
    <w:name w:val="Normal (Web)"/>
    <w:basedOn w:val="Normal"/>
    <w:uiPriority w:val="99"/>
    <w:unhideWhenUsed/>
    <w:rsid w:val="00D675B0"/>
    <w:pPr>
      <w:overflowPunct/>
      <w:autoSpaceDE/>
      <w:autoSpaceDN/>
      <w:adjustRightInd/>
      <w:spacing w:before="100" w:beforeAutospacing="1" w:after="100" w:afterAutospacing="1"/>
      <w:textAlignment w:val="auto"/>
    </w:pPr>
    <w:rPr>
      <w:rFonts w:eastAsia="Times New Roman" w:cs="Times New Roman"/>
      <w:sz w:val="24"/>
      <w:szCs w:val="24"/>
      <w:lang w:val="en-ID" w:eastAsia="en-ID"/>
    </w:rPr>
  </w:style>
  <w:style w:type="character" w:customStyle="1" w:styleId="UnresolvedMention1">
    <w:name w:val="Unresolved Mention1"/>
    <w:basedOn w:val="DefaultParagraphFont"/>
    <w:uiPriority w:val="99"/>
    <w:semiHidden/>
    <w:unhideWhenUsed/>
    <w:rsid w:val="00B91F16"/>
    <w:rPr>
      <w:color w:val="605E5C"/>
      <w:shd w:val="clear" w:color="auto" w:fill="E1DFDD"/>
    </w:rPr>
  </w:style>
  <w:style w:type="table" w:styleId="PlainTable4">
    <w:name w:val="Plain Table 4"/>
    <w:basedOn w:val="TableNormal"/>
    <w:uiPriority w:val="44"/>
    <w:rsid w:val="006A41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b+eVSg5j/zRT9pupW+SL/XXNA==">CgMxLjAaFAoBMBIPCg0IB0IJEgdHdW5nc3VoGhQKATESDwoNCAdCCRIHR3VuZ3N1aBoUCgEyEg8KDQgHQgkSB0d1bmdzdWgaFAoBMxIPCg0IB0IJEgdHdW5nc3VoGhQKATQSDwoNCAdCCRIHR3VuZ3N1aBoUCgE1Eg8KDQgHQgkSB0d1bmdzdWgaFAoBNhIPCg0IB0IJEgdHdW5nc3VoMghoLmdqZGd4czIJaC4zMGowemxsMgloLjFmb2I5dGUyCWguM3pueXNoNzIJaC4yZXQ5MnAwMghoLnR5amN3dDIJaC4zZHk2dmttMgloLjF0M2g1c2YyCWguNGQzNG9nODIJaC4yczhleW8xMgloLjE3ZHA4dnUyCWguM3JkY3JqbjIJaC4yNmluMXJnMghoLmxueGJ6OTgAciExUmNQUEZhcUU4cmFsSVdqakNlUmszN3JaM1BISXJ2O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alby ajaz</dc:creator>
  <cp:lastModifiedBy>Abdu Basith</cp:lastModifiedBy>
  <cp:revision>3</cp:revision>
  <dcterms:created xsi:type="dcterms:W3CDTF">2024-07-20T02:52:00Z</dcterms:created>
  <dcterms:modified xsi:type="dcterms:W3CDTF">2024-07-20T02:52:00Z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61721d49-8f61-30e3-b5da-dd2817760e0f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