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23B8" w14:textId="77777777" w:rsidR="00A12DB7" w:rsidRDefault="00A12DB7"/>
    <w:p w14:paraId="750F0449" w14:textId="77777777" w:rsidR="00A12DB7" w:rsidRDefault="005F4F45">
      <w:pPr>
        <w:pBdr>
          <w:top w:val="nil"/>
          <w:left w:val="nil"/>
          <w:bottom w:val="nil"/>
          <w:right w:val="nil"/>
          <w:between w:val="nil"/>
        </w:pBdr>
        <w:jc w:val="center"/>
        <w:rPr>
          <w:rFonts w:eastAsia="Times New Roman" w:cs="Times New Roman"/>
          <w:color w:val="000000"/>
          <w:sz w:val="32"/>
          <w:szCs w:val="32"/>
        </w:rPr>
      </w:pPr>
      <w:r w:rsidRPr="005F4F45">
        <w:rPr>
          <w:rFonts w:eastAsia="Times New Roman" w:cs="Times New Roman"/>
          <w:color w:val="000000"/>
          <w:sz w:val="32"/>
          <w:szCs w:val="32"/>
        </w:rPr>
        <w:t xml:space="preserve">Studi </w:t>
      </w:r>
      <w:r w:rsidR="0038409E" w:rsidRPr="0038409E">
        <w:rPr>
          <w:rFonts w:eastAsia="Times New Roman" w:cs="Times New Roman"/>
          <w:i/>
          <w:iCs/>
          <w:color w:val="000000"/>
          <w:sz w:val="32"/>
          <w:szCs w:val="32"/>
        </w:rPr>
        <w:t>Molecular docking</w:t>
      </w:r>
      <w:r w:rsidRPr="005F4F45">
        <w:rPr>
          <w:rFonts w:eastAsia="Times New Roman" w:cs="Times New Roman"/>
          <w:color w:val="000000"/>
          <w:sz w:val="32"/>
          <w:szCs w:val="32"/>
        </w:rPr>
        <w:t xml:space="preserve"> Senyawa </w:t>
      </w:r>
      <w:proofErr w:type="spellStart"/>
      <w:r w:rsidR="00476E85">
        <w:rPr>
          <w:rFonts w:eastAsia="Times New Roman" w:cs="Times New Roman"/>
          <w:color w:val="000000"/>
          <w:sz w:val="32"/>
          <w:szCs w:val="32"/>
        </w:rPr>
        <w:t>Irci</w:t>
      </w:r>
      <w:r w:rsidR="00185360">
        <w:rPr>
          <w:rFonts w:eastAsia="Times New Roman" w:cs="Times New Roman"/>
          <w:color w:val="000000"/>
          <w:sz w:val="32"/>
          <w:szCs w:val="32"/>
        </w:rPr>
        <w:t>ni</w:t>
      </w:r>
      <w:r w:rsidR="00476E85">
        <w:rPr>
          <w:rFonts w:eastAsia="Times New Roman" w:cs="Times New Roman"/>
          <w:color w:val="000000"/>
          <w:sz w:val="32"/>
          <w:szCs w:val="32"/>
        </w:rPr>
        <w:t>anin</w:t>
      </w:r>
      <w:proofErr w:type="spellEnd"/>
      <w:r>
        <w:rPr>
          <w:rFonts w:eastAsia="Times New Roman" w:cs="Times New Roman"/>
          <w:color w:val="000000"/>
          <w:sz w:val="32"/>
          <w:szCs w:val="32"/>
        </w:rPr>
        <w:t xml:space="preserve"> </w:t>
      </w:r>
      <w:proofErr w:type="spellStart"/>
      <w:r w:rsidR="00476E85">
        <w:rPr>
          <w:rFonts w:eastAsia="Times New Roman" w:cs="Times New Roman"/>
          <w:color w:val="000000"/>
          <w:sz w:val="32"/>
          <w:szCs w:val="32"/>
        </w:rPr>
        <w:t>Terhadap</w:t>
      </w:r>
      <w:proofErr w:type="spellEnd"/>
      <w:r w:rsidR="00476E85">
        <w:rPr>
          <w:rFonts w:eastAsia="Times New Roman" w:cs="Times New Roman"/>
          <w:color w:val="000000"/>
          <w:sz w:val="32"/>
          <w:szCs w:val="32"/>
        </w:rPr>
        <w:t xml:space="preserve"> </w:t>
      </w:r>
      <w:proofErr w:type="spellStart"/>
      <w:r w:rsidR="00476E85">
        <w:rPr>
          <w:rFonts w:eastAsia="Times New Roman" w:cs="Times New Roman"/>
          <w:color w:val="000000"/>
          <w:sz w:val="32"/>
          <w:szCs w:val="32"/>
        </w:rPr>
        <w:t>Reseptor</w:t>
      </w:r>
      <w:proofErr w:type="spellEnd"/>
      <w:r w:rsidRPr="005F4F45">
        <w:rPr>
          <w:rFonts w:eastAsia="Times New Roman" w:cs="Times New Roman"/>
          <w:color w:val="000000"/>
          <w:sz w:val="32"/>
          <w:szCs w:val="32"/>
        </w:rPr>
        <w:t xml:space="preserve"> </w:t>
      </w:r>
      <w:r w:rsidRPr="005F4F45">
        <w:rPr>
          <w:rFonts w:eastAsia="Times New Roman" w:cs="Times New Roman"/>
          <w:i/>
          <w:iCs/>
          <w:color w:val="000000"/>
          <w:sz w:val="32"/>
          <w:szCs w:val="32"/>
        </w:rPr>
        <w:t>Sodium-</w:t>
      </w:r>
      <w:proofErr w:type="spellStart"/>
      <w:r w:rsidRPr="005F4F45">
        <w:rPr>
          <w:rFonts w:eastAsia="Times New Roman" w:cs="Times New Roman"/>
          <w:i/>
          <w:iCs/>
          <w:color w:val="000000"/>
          <w:sz w:val="32"/>
          <w:szCs w:val="32"/>
        </w:rPr>
        <w:t>Glukose</w:t>
      </w:r>
      <w:proofErr w:type="spellEnd"/>
      <w:r w:rsidRPr="005F4F45">
        <w:rPr>
          <w:rFonts w:eastAsia="Times New Roman" w:cs="Times New Roman"/>
          <w:i/>
          <w:iCs/>
          <w:color w:val="000000"/>
          <w:sz w:val="32"/>
          <w:szCs w:val="32"/>
        </w:rPr>
        <w:t xml:space="preserve"> Co-Transporter 2</w:t>
      </w:r>
      <w:r w:rsidRPr="005F4F45">
        <w:rPr>
          <w:rFonts w:eastAsia="Times New Roman" w:cs="Times New Roman"/>
          <w:color w:val="000000"/>
          <w:sz w:val="32"/>
          <w:szCs w:val="32"/>
        </w:rPr>
        <w:t xml:space="preserve"> (SGLT-2)</w:t>
      </w:r>
    </w:p>
    <w:p w14:paraId="5C24586F" w14:textId="7A62210D" w:rsidR="00A12DB7" w:rsidRDefault="00D27667">
      <w:pPr>
        <w:pStyle w:val="Heading3"/>
        <w:spacing w:before="120"/>
        <w:jc w:val="center"/>
        <w:rPr>
          <w:rFonts w:ascii="Times New Roman" w:eastAsia="Times New Roman" w:hAnsi="Times New Roman" w:cs="Times New Roman"/>
          <w:b w:val="0"/>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Dwi Syah </w:t>
      </w:r>
      <w:proofErr w:type="spellStart"/>
      <w:r>
        <w:rPr>
          <w:rFonts w:ascii="Times New Roman" w:eastAsia="Times New Roman" w:hAnsi="Times New Roman" w:cs="Times New Roman"/>
          <w:color w:val="000000"/>
          <w:sz w:val="22"/>
          <w:szCs w:val="22"/>
        </w:rPr>
        <w:t>Fitra</w:t>
      </w:r>
      <w:proofErr w:type="spellEnd"/>
      <w:r>
        <w:rPr>
          <w:rFonts w:ascii="Times New Roman" w:eastAsia="Times New Roman" w:hAnsi="Times New Roman" w:cs="Times New Roman"/>
          <w:color w:val="000000"/>
          <w:sz w:val="22"/>
          <w:szCs w:val="22"/>
        </w:rPr>
        <w:t xml:space="preserve"> Ramadhan</w:t>
      </w:r>
      <w:r>
        <w:rPr>
          <w:rFonts w:ascii="Times New Roman" w:eastAsia="Times New Roman" w:hAnsi="Times New Roman" w:cs="Times New Roman"/>
          <w:color w:val="000000"/>
          <w:sz w:val="22"/>
          <w:szCs w:val="22"/>
          <w:vertAlign w:val="superscript"/>
        </w:rPr>
        <w:t>*</w:t>
      </w:r>
      <w:r w:rsidR="002F2953">
        <w:rPr>
          <w:rFonts w:ascii="Times New Roman" w:eastAsia="Times New Roman" w:hAnsi="Times New Roman" w:cs="Times New Roman"/>
          <w:color w:val="000000"/>
          <w:sz w:val="22"/>
          <w:szCs w:val="22"/>
          <w:vertAlign w:val="superscript"/>
        </w:rPr>
        <w:t>1</w:t>
      </w:r>
      <w:r>
        <w:rPr>
          <w:rFonts w:ascii="Times New Roman" w:eastAsia="Times New Roman" w:hAnsi="Times New Roman" w:cs="Times New Roman"/>
          <w:color w:val="000000"/>
          <w:sz w:val="22"/>
          <w:szCs w:val="22"/>
          <w:vertAlign w:val="superscript"/>
        </w:rPr>
        <w:t>)</w:t>
      </w:r>
      <w:r w:rsidR="00B96FCA">
        <w:rPr>
          <w:rFonts w:ascii="Times New Roman" w:eastAsia="Times New Roman" w:hAnsi="Times New Roman" w:cs="Times New Roman"/>
          <w:color w:val="000000"/>
          <w:sz w:val="22"/>
          <w:szCs w:val="22"/>
        </w:rPr>
        <w:t xml:space="preserve">, </w:t>
      </w:r>
      <w:proofErr w:type="spellStart"/>
      <w:r w:rsidR="00B96FCA">
        <w:rPr>
          <w:rFonts w:ascii="Times New Roman" w:eastAsia="Times New Roman" w:hAnsi="Times New Roman" w:cs="Times New Roman"/>
          <w:color w:val="000000"/>
          <w:sz w:val="22"/>
          <w:szCs w:val="22"/>
        </w:rPr>
        <w:t>Ratnasari</w:t>
      </w:r>
      <w:proofErr w:type="spellEnd"/>
      <w:r w:rsidR="00B96FCA">
        <w:rPr>
          <w:rFonts w:ascii="Times New Roman" w:eastAsia="Times New Roman" w:hAnsi="Times New Roman" w:cs="Times New Roman"/>
          <w:color w:val="000000"/>
          <w:sz w:val="22"/>
          <w:szCs w:val="22"/>
        </w:rPr>
        <w:t xml:space="preserve"> Dewi</w:t>
      </w:r>
      <w:r w:rsidR="002F2953" w:rsidRPr="002F2953">
        <w:rPr>
          <w:rFonts w:ascii="Times New Roman" w:eastAsia="Times New Roman" w:hAnsi="Times New Roman" w:cs="Times New Roman"/>
          <w:color w:val="000000"/>
          <w:sz w:val="22"/>
          <w:szCs w:val="22"/>
          <w:vertAlign w:val="superscript"/>
        </w:rPr>
        <w:t>2</w:t>
      </w:r>
      <w:r w:rsidR="00B96FCA">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Ismail Ibrahim</w:t>
      </w:r>
      <w:r w:rsidR="002F2953" w:rsidRPr="002F2953">
        <w:rPr>
          <w:rFonts w:ascii="Times New Roman" w:eastAsia="Times New Roman" w:hAnsi="Times New Roman" w:cs="Times New Roman"/>
          <w:color w:val="000000"/>
          <w:sz w:val="22"/>
          <w:szCs w:val="22"/>
          <w:vertAlign w:val="superscript"/>
        </w:rPr>
        <w:t>3</w:t>
      </w:r>
      <w:r>
        <w:rPr>
          <w:rFonts w:ascii="Times New Roman" w:eastAsia="Times New Roman" w:hAnsi="Times New Roman" w:cs="Times New Roman"/>
          <w:color w:val="000000"/>
          <w:sz w:val="22"/>
          <w:szCs w:val="22"/>
        </w:rPr>
        <w:t xml:space="preserve">, Dwi </w:t>
      </w:r>
      <w:proofErr w:type="spellStart"/>
      <w:r>
        <w:rPr>
          <w:rFonts w:ascii="Times New Roman" w:eastAsia="Times New Roman" w:hAnsi="Times New Roman" w:cs="Times New Roman"/>
          <w:color w:val="000000"/>
          <w:sz w:val="22"/>
          <w:szCs w:val="22"/>
        </w:rPr>
        <w:t>Rachmawati</w:t>
      </w:r>
      <w:proofErr w:type="spellEnd"/>
      <w:r>
        <w:rPr>
          <w:rFonts w:ascii="Times New Roman" w:eastAsia="Times New Roman" w:hAnsi="Times New Roman" w:cs="Times New Roman"/>
          <w:color w:val="000000"/>
          <w:sz w:val="22"/>
          <w:szCs w:val="22"/>
        </w:rPr>
        <w:t xml:space="preserve"> Daswi</w:t>
      </w:r>
      <w:r w:rsidR="002F2953" w:rsidRPr="002F2953">
        <w:rPr>
          <w:rFonts w:ascii="Times New Roman" w:eastAsia="Times New Roman" w:hAnsi="Times New Roman" w:cs="Times New Roman"/>
          <w:color w:val="000000"/>
          <w:sz w:val="22"/>
          <w:szCs w:val="22"/>
          <w:vertAlign w:val="superscript"/>
        </w:rPr>
        <w:t>4</w:t>
      </w:r>
      <w:r>
        <w:rPr>
          <w:rFonts w:ascii="Times New Roman" w:eastAsia="Times New Roman" w:hAnsi="Times New Roman" w:cs="Times New Roman"/>
          <w:color w:val="000000"/>
          <w:sz w:val="22"/>
          <w:szCs w:val="22"/>
        </w:rPr>
        <w:t>, Nurisyah</w:t>
      </w:r>
      <w:r w:rsidR="002F2953" w:rsidRPr="002F2953">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Asyhari</w:t>
      </w:r>
      <w:proofErr w:type="spellEnd"/>
      <w:r>
        <w:rPr>
          <w:rFonts w:ascii="Times New Roman" w:eastAsia="Times New Roman" w:hAnsi="Times New Roman" w:cs="Times New Roman"/>
          <w:color w:val="000000"/>
          <w:sz w:val="22"/>
          <w:szCs w:val="22"/>
        </w:rPr>
        <w:t xml:space="preserve"> Asyikin</w:t>
      </w:r>
      <w:r w:rsidR="002F2953" w:rsidRPr="002F2953">
        <w:rPr>
          <w:rFonts w:ascii="Times New Roman" w:eastAsia="Times New Roman" w:hAnsi="Times New Roman" w:cs="Times New Roman"/>
          <w:color w:val="000000"/>
          <w:sz w:val="22"/>
          <w:szCs w:val="22"/>
          <w:vertAlign w:val="superscript"/>
        </w:rPr>
        <w:t>6</w:t>
      </w:r>
      <w:r>
        <w:rPr>
          <w:rFonts w:ascii="Times New Roman" w:eastAsia="Times New Roman" w:hAnsi="Times New Roman" w:cs="Times New Roman"/>
          <w:color w:val="000000"/>
          <w:sz w:val="22"/>
          <w:szCs w:val="22"/>
        </w:rPr>
        <w:t xml:space="preserve">, </w:t>
      </w:r>
      <w:r w:rsidR="00B96FCA">
        <w:rPr>
          <w:rFonts w:ascii="Times New Roman" w:eastAsia="Times New Roman" w:hAnsi="Times New Roman" w:cs="Times New Roman"/>
          <w:color w:val="000000"/>
          <w:sz w:val="22"/>
          <w:szCs w:val="22"/>
        </w:rPr>
        <w:t>Tajuddin Abdullah</w:t>
      </w:r>
      <w:r w:rsidR="002F2953" w:rsidRPr="002F2953">
        <w:rPr>
          <w:rFonts w:ascii="Times New Roman" w:eastAsia="Times New Roman" w:hAnsi="Times New Roman" w:cs="Times New Roman"/>
          <w:color w:val="000000"/>
          <w:sz w:val="22"/>
          <w:szCs w:val="22"/>
          <w:vertAlign w:val="superscript"/>
        </w:rPr>
        <w:t>7</w:t>
      </w:r>
      <w:r w:rsidR="002F2953">
        <w:rPr>
          <w:rFonts w:ascii="Times New Roman" w:eastAsia="Times New Roman" w:hAnsi="Times New Roman" w:cs="Times New Roman"/>
          <w:color w:val="000000"/>
          <w:sz w:val="22"/>
          <w:szCs w:val="22"/>
        </w:rPr>
        <w:t>, Rusdiaman</w:t>
      </w:r>
      <w:r w:rsidR="002F2953" w:rsidRPr="002F2953">
        <w:rPr>
          <w:rFonts w:ascii="Times New Roman" w:eastAsia="Times New Roman" w:hAnsi="Times New Roman" w:cs="Times New Roman"/>
          <w:color w:val="000000"/>
          <w:sz w:val="22"/>
          <w:szCs w:val="22"/>
          <w:vertAlign w:val="superscript"/>
        </w:rPr>
        <w:t>8</w:t>
      </w:r>
    </w:p>
    <w:p w14:paraId="79617429" w14:textId="7616D8D5" w:rsidR="00A12DB7" w:rsidRDefault="00000000">
      <w:pPr>
        <w:pBdr>
          <w:top w:val="nil"/>
          <w:left w:val="nil"/>
          <w:bottom w:val="nil"/>
          <w:right w:val="nil"/>
          <w:between w:val="nil"/>
        </w:pBdr>
        <w:jc w:val="center"/>
        <w:rPr>
          <w:rFonts w:eastAsia="Times New Roman" w:cs="Times New Roman"/>
          <w:color w:val="000000"/>
        </w:rPr>
      </w:pPr>
      <w:r>
        <w:rPr>
          <w:rFonts w:eastAsia="Times New Roman" w:cs="Times New Roman"/>
          <w:color w:val="000000"/>
        </w:rPr>
        <w:t xml:space="preserve"> </w:t>
      </w:r>
      <w:r w:rsidR="002F2953" w:rsidRPr="002F2953">
        <w:rPr>
          <w:rFonts w:eastAsia="Times New Roman" w:cs="Times New Roman"/>
          <w:color w:val="000000"/>
          <w:vertAlign w:val="superscript"/>
        </w:rPr>
        <w:t>1,2,3,4,5,6,7,8</w:t>
      </w:r>
      <w:r w:rsidR="002F2953">
        <w:rPr>
          <w:rFonts w:eastAsia="Times New Roman" w:cs="Times New Roman"/>
          <w:color w:val="000000"/>
        </w:rPr>
        <w:t xml:space="preserve"> </w:t>
      </w:r>
      <w:proofErr w:type="spellStart"/>
      <w:r w:rsidR="00D27667">
        <w:rPr>
          <w:rFonts w:eastAsia="Times New Roman" w:cs="Times New Roman"/>
          <w:color w:val="000000"/>
        </w:rPr>
        <w:t>Jurusan</w:t>
      </w:r>
      <w:proofErr w:type="spellEnd"/>
      <w:r w:rsidR="00D27667">
        <w:rPr>
          <w:rFonts w:eastAsia="Times New Roman" w:cs="Times New Roman"/>
          <w:color w:val="000000"/>
        </w:rPr>
        <w:t xml:space="preserve"> Farmasi, </w:t>
      </w:r>
      <w:proofErr w:type="spellStart"/>
      <w:r w:rsidR="00D27667">
        <w:rPr>
          <w:rFonts w:eastAsia="Times New Roman" w:cs="Times New Roman"/>
          <w:color w:val="000000"/>
        </w:rPr>
        <w:t>Poltekkes</w:t>
      </w:r>
      <w:proofErr w:type="spellEnd"/>
      <w:r w:rsidR="00D27667">
        <w:rPr>
          <w:rFonts w:eastAsia="Times New Roman" w:cs="Times New Roman"/>
          <w:color w:val="000000"/>
        </w:rPr>
        <w:t xml:space="preserve"> </w:t>
      </w:r>
      <w:proofErr w:type="spellStart"/>
      <w:r w:rsidR="00D27667">
        <w:rPr>
          <w:rFonts w:eastAsia="Times New Roman" w:cs="Times New Roman"/>
          <w:color w:val="000000"/>
        </w:rPr>
        <w:t>Kemenkes</w:t>
      </w:r>
      <w:proofErr w:type="spellEnd"/>
      <w:r w:rsidR="00D27667">
        <w:rPr>
          <w:rFonts w:eastAsia="Times New Roman" w:cs="Times New Roman"/>
          <w:color w:val="000000"/>
        </w:rPr>
        <w:t xml:space="preserve"> Makassar</w:t>
      </w:r>
    </w:p>
    <w:p w14:paraId="2AB240EE" w14:textId="2BDD37BB" w:rsidR="00A12DB7" w:rsidRDefault="00000000" w:rsidP="00ED5D16">
      <w:pPr>
        <w:ind w:left="-567" w:firstLine="720"/>
        <w:jc w:val="center"/>
      </w:pPr>
      <w:r>
        <w:rPr>
          <w:vertAlign w:val="superscript"/>
        </w:rPr>
        <w:t xml:space="preserve">*) </w:t>
      </w:r>
      <w:r>
        <w:t>E-mail:</w:t>
      </w:r>
      <w:r w:rsidR="00D27667">
        <w:t xml:space="preserve"> ditrakdi@gmail.com</w:t>
      </w:r>
    </w:p>
    <w:p w14:paraId="1371C401" w14:textId="77777777" w:rsidR="00A12DB7" w:rsidRDefault="00A12DB7">
      <w:pPr>
        <w:ind w:left="2160" w:firstLine="720"/>
      </w:pPr>
    </w:p>
    <w:tbl>
      <w:tblPr>
        <w:tblStyle w:val="a"/>
        <w:tblW w:w="8931" w:type="dxa"/>
        <w:tblInd w:w="108" w:type="dxa"/>
        <w:tblLayout w:type="fixed"/>
        <w:tblLook w:val="0400" w:firstRow="0" w:lastRow="0" w:firstColumn="0" w:lastColumn="0" w:noHBand="0" w:noVBand="1"/>
      </w:tblPr>
      <w:tblGrid>
        <w:gridCol w:w="2025"/>
        <w:gridCol w:w="250"/>
        <w:gridCol w:w="6656"/>
      </w:tblGrid>
      <w:tr w:rsidR="00A12DB7" w14:paraId="13CD2F17" w14:textId="77777777" w:rsidTr="0055003B">
        <w:tc>
          <w:tcPr>
            <w:tcW w:w="2025" w:type="dxa"/>
            <w:shd w:val="clear" w:color="auto" w:fill="auto"/>
          </w:tcPr>
          <w:p w14:paraId="0E79102A" w14:textId="77777777" w:rsidR="00A12DB7" w:rsidRDefault="00A12DB7">
            <w:pPr>
              <w:rPr>
                <w:sz w:val="22"/>
                <w:szCs w:val="22"/>
              </w:rPr>
            </w:pPr>
          </w:p>
        </w:tc>
        <w:tc>
          <w:tcPr>
            <w:tcW w:w="250" w:type="dxa"/>
            <w:shd w:val="clear" w:color="auto" w:fill="auto"/>
          </w:tcPr>
          <w:p w14:paraId="556DDEC4" w14:textId="77777777" w:rsidR="00A12DB7" w:rsidRDefault="00A12DB7">
            <w:pPr>
              <w:rPr>
                <w:sz w:val="22"/>
                <w:szCs w:val="22"/>
              </w:rPr>
            </w:pPr>
          </w:p>
        </w:tc>
        <w:tc>
          <w:tcPr>
            <w:tcW w:w="6656" w:type="dxa"/>
            <w:shd w:val="clear" w:color="auto" w:fill="auto"/>
          </w:tcPr>
          <w:p w14:paraId="7307F84A" w14:textId="77777777" w:rsidR="00A12DB7" w:rsidRDefault="00A12DB7">
            <w:pPr>
              <w:rPr>
                <w:sz w:val="22"/>
                <w:szCs w:val="22"/>
              </w:rPr>
            </w:pPr>
          </w:p>
        </w:tc>
      </w:tr>
      <w:tr w:rsidR="00A12DB7" w14:paraId="59D5E9EF" w14:textId="77777777" w:rsidTr="0055003B">
        <w:tc>
          <w:tcPr>
            <w:tcW w:w="2025" w:type="dxa"/>
            <w:shd w:val="clear" w:color="auto" w:fill="auto"/>
          </w:tcPr>
          <w:p w14:paraId="419430BD" w14:textId="77777777" w:rsidR="00A12DB7" w:rsidRDefault="00000000">
            <w:pPr>
              <w:ind w:left="-108"/>
              <w:rPr>
                <w:b/>
                <w:u w:val="single"/>
              </w:rPr>
            </w:pPr>
            <w:r>
              <w:rPr>
                <w:b/>
                <w:u w:val="single"/>
              </w:rPr>
              <w:t>Info Artikel</w:t>
            </w:r>
          </w:p>
        </w:tc>
        <w:tc>
          <w:tcPr>
            <w:tcW w:w="250" w:type="dxa"/>
            <w:shd w:val="clear" w:color="auto" w:fill="auto"/>
          </w:tcPr>
          <w:p w14:paraId="6D1EA304" w14:textId="77777777" w:rsidR="00A12DB7" w:rsidRDefault="00A12DB7">
            <w:pPr>
              <w:rPr>
                <w:b/>
                <w:sz w:val="24"/>
                <w:szCs w:val="24"/>
              </w:rPr>
            </w:pPr>
          </w:p>
        </w:tc>
        <w:tc>
          <w:tcPr>
            <w:tcW w:w="6656" w:type="dxa"/>
            <w:shd w:val="clear" w:color="auto" w:fill="auto"/>
          </w:tcPr>
          <w:p w14:paraId="4B60C0EC" w14:textId="77777777" w:rsidR="00A12DB7" w:rsidRDefault="00000000">
            <w:pPr>
              <w:ind w:left="-104"/>
              <w:rPr>
                <w:b/>
                <w:sz w:val="22"/>
                <w:szCs w:val="22"/>
              </w:rPr>
            </w:pPr>
            <w:proofErr w:type="spellStart"/>
            <w:r>
              <w:rPr>
                <w:b/>
                <w:sz w:val="22"/>
                <w:szCs w:val="22"/>
              </w:rPr>
              <w:t>Abstrak</w:t>
            </w:r>
            <w:proofErr w:type="spellEnd"/>
          </w:p>
        </w:tc>
      </w:tr>
      <w:tr w:rsidR="00A12DB7" w14:paraId="5C29556C" w14:textId="77777777" w:rsidTr="0055003B">
        <w:tc>
          <w:tcPr>
            <w:tcW w:w="2025" w:type="dxa"/>
            <w:shd w:val="clear" w:color="auto" w:fill="auto"/>
          </w:tcPr>
          <w:p w14:paraId="7E7C6B9C" w14:textId="77777777" w:rsidR="00A12DB7" w:rsidRDefault="00000000">
            <w:pPr>
              <w:ind w:left="-108"/>
              <w:rPr>
                <w:i/>
              </w:rPr>
            </w:pPr>
            <w:r>
              <w:rPr>
                <w:i/>
              </w:rPr>
              <w:t xml:space="preserve">Sejarah </w:t>
            </w:r>
            <w:proofErr w:type="gramStart"/>
            <w:r>
              <w:rPr>
                <w:i/>
              </w:rPr>
              <w:t>Artikel :</w:t>
            </w:r>
            <w:proofErr w:type="gramEnd"/>
          </w:p>
        </w:tc>
        <w:tc>
          <w:tcPr>
            <w:tcW w:w="250" w:type="dxa"/>
            <w:shd w:val="clear" w:color="auto" w:fill="auto"/>
          </w:tcPr>
          <w:p w14:paraId="06392E32" w14:textId="77777777" w:rsidR="00A12DB7" w:rsidRDefault="00A12DB7">
            <w:pPr>
              <w:rPr>
                <w:sz w:val="22"/>
                <w:szCs w:val="22"/>
              </w:rPr>
            </w:pPr>
          </w:p>
        </w:tc>
        <w:tc>
          <w:tcPr>
            <w:tcW w:w="6656" w:type="dxa"/>
            <w:vMerge w:val="restart"/>
            <w:shd w:val="clear" w:color="auto" w:fill="auto"/>
          </w:tcPr>
          <w:p w14:paraId="5AADE4A4" w14:textId="77777777" w:rsidR="00A12DB7" w:rsidRDefault="001E042A" w:rsidP="001E042A">
            <w:pPr>
              <w:spacing w:after="200"/>
              <w:ind w:left="-104" w:right="-108"/>
              <w:jc w:val="both"/>
            </w:pPr>
            <w:r w:rsidRPr="001E042A">
              <w:rPr>
                <w:b/>
              </w:rPr>
              <w:t xml:space="preserve">Latar </w:t>
            </w:r>
            <w:proofErr w:type="spellStart"/>
            <w:r w:rsidRPr="001E042A">
              <w:rPr>
                <w:b/>
              </w:rPr>
              <w:t>Belakang</w:t>
            </w:r>
            <w:proofErr w:type="spellEnd"/>
            <w:r w:rsidRPr="001E042A">
              <w:rPr>
                <w:b/>
              </w:rPr>
              <w:t>:</w:t>
            </w:r>
            <w:r w:rsidRPr="001E042A">
              <w:rPr>
                <w:bCs/>
              </w:rPr>
              <w:t xml:space="preserve"> Sodium-glucose cotransporter 2 (SGLT-2) </w:t>
            </w:r>
            <w:proofErr w:type="spellStart"/>
            <w:r w:rsidRPr="001E042A">
              <w:rPr>
                <w:bCs/>
              </w:rPr>
              <w:t>merupakan</w:t>
            </w:r>
            <w:proofErr w:type="spellEnd"/>
            <w:r w:rsidRPr="001E042A">
              <w:rPr>
                <w:bCs/>
              </w:rPr>
              <w:t xml:space="preserve"> target </w:t>
            </w:r>
            <w:proofErr w:type="spellStart"/>
            <w:r w:rsidRPr="001E042A">
              <w:rPr>
                <w:bCs/>
              </w:rPr>
              <w:t>potensial</w:t>
            </w:r>
            <w:proofErr w:type="spellEnd"/>
            <w:r w:rsidRPr="001E042A">
              <w:rPr>
                <w:bCs/>
              </w:rPr>
              <w:t xml:space="preserve"> </w:t>
            </w:r>
            <w:proofErr w:type="spellStart"/>
            <w:r w:rsidRPr="001E042A">
              <w:rPr>
                <w:bCs/>
              </w:rPr>
              <w:t>dalam</w:t>
            </w:r>
            <w:proofErr w:type="spellEnd"/>
            <w:r w:rsidRPr="001E042A">
              <w:rPr>
                <w:bCs/>
              </w:rPr>
              <w:t xml:space="preserve"> </w:t>
            </w:r>
            <w:proofErr w:type="spellStart"/>
            <w:r w:rsidRPr="001E042A">
              <w:rPr>
                <w:bCs/>
              </w:rPr>
              <w:t>pengobatan</w:t>
            </w:r>
            <w:proofErr w:type="spellEnd"/>
            <w:r w:rsidRPr="001E042A">
              <w:rPr>
                <w:bCs/>
              </w:rPr>
              <w:t xml:space="preserve"> diabetes </w:t>
            </w:r>
            <w:proofErr w:type="spellStart"/>
            <w:r w:rsidRPr="001E042A">
              <w:rPr>
                <w:bCs/>
              </w:rPr>
              <w:t>tipe</w:t>
            </w:r>
            <w:proofErr w:type="spellEnd"/>
            <w:r w:rsidRPr="001E042A">
              <w:rPr>
                <w:bCs/>
              </w:rPr>
              <w:t xml:space="preserve"> 2, </w:t>
            </w:r>
            <w:proofErr w:type="spellStart"/>
            <w:r w:rsidRPr="001E042A">
              <w:rPr>
                <w:bCs/>
              </w:rPr>
              <w:t>dengan</w:t>
            </w:r>
            <w:proofErr w:type="spellEnd"/>
            <w:r w:rsidRPr="001E042A">
              <w:rPr>
                <w:bCs/>
              </w:rPr>
              <w:t xml:space="preserve"> inhibitor SGLT-2 yang </w:t>
            </w:r>
            <w:proofErr w:type="spellStart"/>
            <w:r w:rsidRPr="001E042A">
              <w:rPr>
                <w:bCs/>
              </w:rPr>
              <w:t>bekerja</w:t>
            </w:r>
            <w:proofErr w:type="spellEnd"/>
            <w:r w:rsidRPr="001E042A">
              <w:rPr>
                <w:bCs/>
              </w:rPr>
              <w:t xml:space="preserve"> </w:t>
            </w:r>
            <w:proofErr w:type="spellStart"/>
            <w:r w:rsidRPr="001E042A">
              <w:rPr>
                <w:bCs/>
              </w:rPr>
              <w:t>menghambat</w:t>
            </w:r>
            <w:proofErr w:type="spellEnd"/>
            <w:r w:rsidRPr="001E042A">
              <w:rPr>
                <w:bCs/>
              </w:rPr>
              <w:t xml:space="preserve"> </w:t>
            </w:r>
            <w:proofErr w:type="spellStart"/>
            <w:r w:rsidRPr="001E042A">
              <w:rPr>
                <w:bCs/>
              </w:rPr>
              <w:t>reabsorpsi</w:t>
            </w:r>
            <w:proofErr w:type="spellEnd"/>
            <w:r w:rsidRPr="001E042A">
              <w:rPr>
                <w:bCs/>
              </w:rPr>
              <w:t xml:space="preserve"> </w:t>
            </w:r>
            <w:proofErr w:type="spellStart"/>
            <w:r w:rsidRPr="001E042A">
              <w:rPr>
                <w:bCs/>
              </w:rPr>
              <w:t>glukosa</w:t>
            </w:r>
            <w:proofErr w:type="spellEnd"/>
            <w:r w:rsidRPr="001E042A">
              <w:rPr>
                <w:bCs/>
              </w:rPr>
              <w:t xml:space="preserve"> di </w:t>
            </w:r>
            <w:proofErr w:type="spellStart"/>
            <w:r w:rsidRPr="001E042A">
              <w:rPr>
                <w:bCs/>
              </w:rPr>
              <w:t>ginjal</w:t>
            </w:r>
            <w:proofErr w:type="spellEnd"/>
            <w:r w:rsidRPr="001E042A">
              <w:rPr>
                <w:bCs/>
              </w:rPr>
              <w:t xml:space="preserve">. </w:t>
            </w:r>
            <w:proofErr w:type="spellStart"/>
            <w:r w:rsidRPr="001E042A">
              <w:rPr>
                <w:bCs/>
              </w:rPr>
              <w:t>Penelitian</w:t>
            </w:r>
            <w:proofErr w:type="spellEnd"/>
            <w:r w:rsidRPr="001E042A">
              <w:rPr>
                <w:bCs/>
              </w:rPr>
              <w:t xml:space="preserve"> </w:t>
            </w:r>
            <w:proofErr w:type="spellStart"/>
            <w:r w:rsidRPr="001E042A">
              <w:rPr>
                <w:bCs/>
              </w:rPr>
              <w:t>ini</w:t>
            </w:r>
            <w:proofErr w:type="spellEnd"/>
            <w:r w:rsidRPr="001E042A">
              <w:rPr>
                <w:bCs/>
              </w:rPr>
              <w:t xml:space="preserve"> </w:t>
            </w:r>
            <w:proofErr w:type="spellStart"/>
            <w:r w:rsidRPr="001E042A">
              <w:rPr>
                <w:bCs/>
              </w:rPr>
              <w:t>bertujuan</w:t>
            </w:r>
            <w:proofErr w:type="spellEnd"/>
            <w:r w:rsidRPr="001E042A">
              <w:rPr>
                <w:bCs/>
              </w:rPr>
              <w:t xml:space="preserve"> </w:t>
            </w:r>
            <w:proofErr w:type="spellStart"/>
            <w:r w:rsidRPr="001E042A">
              <w:rPr>
                <w:bCs/>
              </w:rPr>
              <w:t>untuk</w:t>
            </w:r>
            <w:proofErr w:type="spellEnd"/>
            <w:r w:rsidRPr="001E042A">
              <w:rPr>
                <w:bCs/>
              </w:rPr>
              <w:t xml:space="preserve"> </w:t>
            </w:r>
            <w:proofErr w:type="spellStart"/>
            <w:r w:rsidRPr="001E042A">
              <w:rPr>
                <w:bCs/>
              </w:rPr>
              <w:t>mengevaluasi</w:t>
            </w:r>
            <w:proofErr w:type="spellEnd"/>
            <w:r w:rsidRPr="001E042A">
              <w:rPr>
                <w:bCs/>
              </w:rPr>
              <w:t xml:space="preserve"> </w:t>
            </w:r>
            <w:proofErr w:type="spellStart"/>
            <w:r w:rsidRPr="001E042A">
              <w:rPr>
                <w:bCs/>
              </w:rPr>
              <w:t>potensi</w:t>
            </w:r>
            <w:proofErr w:type="spellEnd"/>
            <w:r w:rsidRPr="001E042A">
              <w:rPr>
                <w:bCs/>
              </w:rPr>
              <w:t xml:space="preserve"> </w:t>
            </w:r>
            <w:proofErr w:type="spellStart"/>
            <w:r w:rsidRPr="001E042A">
              <w:rPr>
                <w:bCs/>
              </w:rPr>
              <w:t>ircinianin</w:t>
            </w:r>
            <w:proofErr w:type="spellEnd"/>
            <w:r w:rsidRPr="001E042A">
              <w:rPr>
                <w:bCs/>
              </w:rPr>
              <w:t xml:space="preserve">, </w:t>
            </w:r>
            <w:proofErr w:type="spellStart"/>
            <w:r w:rsidRPr="001E042A">
              <w:rPr>
                <w:bCs/>
              </w:rPr>
              <w:t>senyawa</w:t>
            </w:r>
            <w:proofErr w:type="spellEnd"/>
            <w:r w:rsidRPr="001E042A">
              <w:rPr>
                <w:bCs/>
              </w:rPr>
              <w:t xml:space="preserve"> </w:t>
            </w:r>
            <w:proofErr w:type="spellStart"/>
            <w:r w:rsidRPr="001E042A">
              <w:rPr>
                <w:bCs/>
              </w:rPr>
              <w:t>alami</w:t>
            </w:r>
            <w:proofErr w:type="spellEnd"/>
            <w:r w:rsidRPr="001E042A">
              <w:rPr>
                <w:bCs/>
              </w:rPr>
              <w:t xml:space="preserve"> yang </w:t>
            </w:r>
            <w:proofErr w:type="spellStart"/>
            <w:r w:rsidRPr="001E042A">
              <w:rPr>
                <w:bCs/>
              </w:rPr>
              <w:t>diisolasi</w:t>
            </w:r>
            <w:proofErr w:type="spellEnd"/>
            <w:r w:rsidRPr="001E042A">
              <w:rPr>
                <w:bCs/>
              </w:rPr>
              <w:t xml:space="preserve"> </w:t>
            </w:r>
            <w:proofErr w:type="spellStart"/>
            <w:r w:rsidRPr="001E042A">
              <w:rPr>
                <w:bCs/>
              </w:rPr>
              <w:t>dari</w:t>
            </w:r>
            <w:proofErr w:type="spellEnd"/>
            <w:r w:rsidRPr="001E042A">
              <w:rPr>
                <w:bCs/>
              </w:rPr>
              <w:t xml:space="preserve"> </w:t>
            </w:r>
            <w:proofErr w:type="spellStart"/>
            <w:r w:rsidRPr="001E042A">
              <w:rPr>
                <w:bCs/>
              </w:rPr>
              <w:t>spons</w:t>
            </w:r>
            <w:proofErr w:type="spellEnd"/>
            <w:r w:rsidRPr="001E042A">
              <w:rPr>
                <w:bCs/>
              </w:rPr>
              <w:t xml:space="preserve"> </w:t>
            </w:r>
            <w:proofErr w:type="spellStart"/>
            <w:r w:rsidRPr="001E042A">
              <w:rPr>
                <w:bCs/>
              </w:rPr>
              <w:t>Ircinia</w:t>
            </w:r>
            <w:proofErr w:type="spellEnd"/>
            <w:r w:rsidRPr="001E042A">
              <w:rPr>
                <w:bCs/>
              </w:rPr>
              <w:t xml:space="preserve"> sp., </w:t>
            </w:r>
            <w:proofErr w:type="spellStart"/>
            <w:r w:rsidRPr="001E042A">
              <w:rPr>
                <w:bCs/>
              </w:rPr>
              <w:t>sebagai</w:t>
            </w:r>
            <w:proofErr w:type="spellEnd"/>
            <w:r w:rsidRPr="001E042A">
              <w:rPr>
                <w:bCs/>
              </w:rPr>
              <w:t xml:space="preserve"> inhibitor SGLT-2 </w:t>
            </w:r>
            <w:proofErr w:type="spellStart"/>
            <w:r w:rsidRPr="001E042A">
              <w:rPr>
                <w:bCs/>
              </w:rPr>
              <w:t>menggunakan</w:t>
            </w:r>
            <w:proofErr w:type="spellEnd"/>
            <w:r w:rsidRPr="001E042A">
              <w:rPr>
                <w:bCs/>
              </w:rPr>
              <w:t xml:space="preserve"> </w:t>
            </w:r>
            <w:proofErr w:type="spellStart"/>
            <w:r w:rsidRPr="001E042A">
              <w:rPr>
                <w:bCs/>
              </w:rPr>
              <w:t>pendekatan</w:t>
            </w:r>
            <w:proofErr w:type="spellEnd"/>
            <w:r w:rsidRPr="001E042A">
              <w:rPr>
                <w:bCs/>
              </w:rPr>
              <w:t xml:space="preserve"> </w:t>
            </w:r>
            <w:r w:rsidR="0038409E" w:rsidRPr="0038409E">
              <w:rPr>
                <w:bCs/>
                <w:i/>
                <w:iCs/>
              </w:rPr>
              <w:t>molecular docking</w:t>
            </w:r>
            <w:r w:rsidRPr="001E042A">
              <w:rPr>
                <w:bCs/>
              </w:rPr>
              <w:t xml:space="preserve">. Tujuan: </w:t>
            </w:r>
            <w:proofErr w:type="spellStart"/>
            <w:r w:rsidRPr="001E042A">
              <w:rPr>
                <w:bCs/>
              </w:rPr>
              <w:t>Penelitian</w:t>
            </w:r>
            <w:proofErr w:type="spellEnd"/>
            <w:r w:rsidRPr="001E042A">
              <w:rPr>
                <w:bCs/>
              </w:rPr>
              <w:t xml:space="preserve"> </w:t>
            </w:r>
            <w:proofErr w:type="spellStart"/>
            <w:r w:rsidRPr="001E042A">
              <w:rPr>
                <w:bCs/>
              </w:rPr>
              <w:t>ini</w:t>
            </w:r>
            <w:proofErr w:type="spellEnd"/>
            <w:r w:rsidRPr="001E042A">
              <w:rPr>
                <w:bCs/>
              </w:rPr>
              <w:t xml:space="preserve"> </w:t>
            </w:r>
            <w:proofErr w:type="spellStart"/>
            <w:r w:rsidRPr="001E042A">
              <w:rPr>
                <w:bCs/>
              </w:rPr>
              <w:t>bertujuan</w:t>
            </w:r>
            <w:proofErr w:type="spellEnd"/>
            <w:r w:rsidRPr="001E042A">
              <w:rPr>
                <w:bCs/>
              </w:rPr>
              <w:t xml:space="preserve"> </w:t>
            </w:r>
            <w:proofErr w:type="spellStart"/>
            <w:r w:rsidRPr="001E042A">
              <w:rPr>
                <w:bCs/>
              </w:rPr>
              <w:t>untuk</w:t>
            </w:r>
            <w:proofErr w:type="spellEnd"/>
            <w:r w:rsidRPr="001E042A">
              <w:rPr>
                <w:bCs/>
              </w:rPr>
              <w:t xml:space="preserve"> </w:t>
            </w:r>
            <w:proofErr w:type="spellStart"/>
            <w:r w:rsidRPr="001E042A">
              <w:rPr>
                <w:bCs/>
              </w:rPr>
              <w:t>menganalisis</w:t>
            </w:r>
            <w:proofErr w:type="spellEnd"/>
            <w:r w:rsidRPr="001E042A">
              <w:rPr>
                <w:bCs/>
              </w:rPr>
              <w:t xml:space="preserve"> </w:t>
            </w:r>
            <w:proofErr w:type="spellStart"/>
            <w:r w:rsidRPr="001E042A">
              <w:rPr>
                <w:bCs/>
              </w:rPr>
              <w:t>interaksi</w:t>
            </w:r>
            <w:proofErr w:type="spellEnd"/>
            <w:r w:rsidRPr="001E042A">
              <w:rPr>
                <w:bCs/>
              </w:rPr>
              <w:t xml:space="preserve"> </w:t>
            </w:r>
            <w:proofErr w:type="spellStart"/>
            <w:r w:rsidRPr="001E042A">
              <w:rPr>
                <w:bCs/>
              </w:rPr>
              <w:t>antara</w:t>
            </w:r>
            <w:proofErr w:type="spellEnd"/>
            <w:r w:rsidRPr="001E042A">
              <w:rPr>
                <w:bCs/>
              </w:rPr>
              <w:t xml:space="preserve"> </w:t>
            </w:r>
            <w:proofErr w:type="spellStart"/>
            <w:r w:rsidRPr="001E042A">
              <w:rPr>
                <w:bCs/>
              </w:rPr>
              <w:t>ircinianin</w:t>
            </w:r>
            <w:proofErr w:type="spellEnd"/>
            <w:r w:rsidRPr="001E042A">
              <w:rPr>
                <w:bCs/>
              </w:rPr>
              <w:t xml:space="preserve"> dan protein SGLT-2 </w:t>
            </w:r>
            <w:proofErr w:type="spellStart"/>
            <w:r w:rsidRPr="001E042A">
              <w:rPr>
                <w:bCs/>
              </w:rPr>
              <w:t>serta</w:t>
            </w:r>
            <w:proofErr w:type="spellEnd"/>
            <w:r w:rsidRPr="001E042A">
              <w:rPr>
                <w:bCs/>
              </w:rPr>
              <w:t xml:space="preserve"> </w:t>
            </w:r>
            <w:proofErr w:type="spellStart"/>
            <w:r w:rsidRPr="001E042A">
              <w:rPr>
                <w:bCs/>
              </w:rPr>
              <w:t>mengevaluasi</w:t>
            </w:r>
            <w:proofErr w:type="spellEnd"/>
            <w:r w:rsidRPr="001E042A">
              <w:rPr>
                <w:bCs/>
              </w:rPr>
              <w:t xml:space="preserve"> </w:t>
            </w:r>
            <w:proofErr w:type="spellStart"/>
            <w:r w:rsidRPr="001E042A">
              <w:rPr>
                <w:bCs/>
              </w:rPr>
              <w:t>potensi</w:t>
            </w:r>
            <w:proofErr w:type="spellEnd"/>
            <w:r w:rsidRPr="001E042A">
              <w:rPr>
                <w:bCs/>
              </w:rPr>
              <w:t xml:space="preserve"> </w:t>
            </w:r>
            <w:proofErr w:type="spellStart"/>
            <w:r w:rsidRPr="001E042A">
              <w:rPr>
                <w:bCs/>
              </w:rPr>
              <w:t>penghambatan</w:t>
            </w:r>
            <w:proofErr w:type="spellEnd"/>
            <w:r w:rsidRPr="001E042A">
              <w:rPr>
                <w:bCs/>
              </w:rPr>
              <w:t xml:space="preserve"> </w:t>
            </w:r>
            <w:proofErr w:type="spellStart"/>
            <w:r w:rsidRPr="001E042A">
              <w:rPr>
                <w:bCs/>
              </w:rPr>
              <w:t>ircinianin</w:t>
            </w:r>
            <w:proofErr w:type="spellEnd"/>
            <w:r w:rsidRPr="001E042A">
              <w:rPr>
                <w:bCs/>
              </w:rPr>
              <w:t xml:space="preserve"> </w:t>
            </w:r>
            <w:proofErr w:type="spellStart"/>
            <w:r w:rsidRPr="001E042A">
              <w:rPr>
                <w:bCs/>
              </w:rPr>
              <w:t>terhadap</w:t>
            </w:r>
            <w:proofErr w:type="spellEnd"/>
            <w:r w:rsidRPr="001E042A">
              <w:rPr>
                <w:bCs/>
              </w:rPr>
              <w:t xml:space="preserve"> </w:t>
            </w:r>
            <w:proofErr w:type="spellStart"/>
            <w:r w:rsidRPr="001E042A">
              <w:rPr>
                <w:bCs/>
              </w:rPr>
              <w:t>reseptor</w:t>
            </w:r>
            <w:proofErr w:type="spellEnd"/>
            <w:r w:rsidRPr="001E042A">
              <w:rPr>
                <w:bCs/>
              </w:rPr>
              <w:t xml:space="preserve"> SGLT-2. </w:t>
            </w:r>
            <w:r w:rsidRPr="001E042A">
              <w:rPr>
                <w:b/>
              </w:rPr>
              <w:t>Metode:</w:t>
            </w:r>
            <w:r w:rsidRPr="001E042A">
              <w:rPr>
                <w:bCs/>
              </w:rPr>
              <w:t xml:space="preserve"> Metode yang </w:t>
            </w:r>
            <w:proofErr w:type="spellStart"/>
            <w:r w:rsidRPr="001E042A">
              <w:rPr>
                <w:bCs/>
              </w:rPr>
              <w:t>digunakan</w:t>
            </w:r>
            <w:proofErr w:type="spellEnd"/>
            <w:r w:rsidRPr="001E042A">
              <w:rPr>
                <w:bCs/>
              </w:rPr>
              <w:t xml:space="preserve"> </w:t>
            </w:r>
            <w:proofErr w:type="spellStart"/>
            <w:r w:rsidRPr="001E042A">
              <w:rPr>
                <w:bCs/>
              </w:rPr>
              <w:t>adalah</w:t>
            </w:r>
            <w:proofErr w:type="spellEnd"/>
            <w:r w:rsidRPr="001E042A">
              <w:rPr>
                <w:bCs/>
              </w:rPr>
              <w:t xml:space="preserve"> </w:t>
            </w:r>
            <w:r w:rsidR="0038409E" w:rsidRPr="0038409E">
              <w:rPr>
                <w:bCs/>
                <w:i/>
                <w:iCs/>
              </w:rPr>
              <w:t>molecular docking</w:t>
            </w:r>
            <w:r w:rsidRPr="001E042A">
              <w:rPr>
                <w:bCs/>
              </w:rPr>
              <w:t xml:space="preserve"> </w:t>
            </w:r>
            <w:proofErr w:type="spellStart"/>
            <w:r w:rsidRPr="001E042A">
              <w:rPr>
                <w:bCs/>
              </w:rPr>
              <w:t>dengan</w:t>
            </w:r>
            <w:proofErr w:type="spellEnd"/>
            <w:r w:rsidRPr="001E042A">
              <w:rPr>
                <w:bCs/>
              </w:rPr>
              <w:t xml:space="preserve"> </w:t>
            </w:r>
            <w:proofErr w:type="spellStart"/>
            <w:r w:rsidRPr="001E042A">
              <w:rPr>
                <w:bCs/>
              </w:rPr>
              <w:t>perangkat</w:t>
            </w:r>
            <w:proofErr w:type="spellEnd"/>
            <w:r w:rsidRPr="001E042A">
              <w:rPr>
                <w:bCs/>
              </w:rPr>
              <w:t xml:space="preserve"> </w:t>
            </w:r>
            <w:proofErr w:type="spellStart"/>
            <w:r w:rsidRPr="001E042A">
              <w:rPr>
                <w:bCs/>
              </w:rPr>
              <w:t>lunak</w:t>
            </w:r>
            <w:proofErr w:type="spellEnd"/>
            <w:r w:rsidRPr="001E042A">
              <w:rPr>
                <w:bCs/>
              </w:rPr>
              <w:t xml:space="preserve"> AutoDock4. </w:t>
            </w:r>
            <w:proofErr w:type="spellStart"/>
            <w:r w:rsidRPr="001E042A">
              <w:rPr>
                <w:bCs/>
              </w:rPr>
              <w:t>Prosedur</w:t>
            </w:r>
            <w:proofErr w:type="spellEnd"/>
            <w:r w:rsidRPr="001E042A">
              <w:rPr>
                <w:bCs/>
              </w:rPr>
              <w:t xml:space="preserve"> </w:t>
            </w:r>
            <w:proofErr w:type="spellStart"/>
            <w:r w:rsidRPr="001E042A">
              <w:rPr>
                <w:bCs/>
              </w:rPr>
              <w:t>dilakukan</w:t>
            </w:r>
            <w:proofErr w:type="spellEnd"/>
            <w:r w:rsidRPr="001E042A">
              <w:rPr>
                <w:bCs/>
              </w:rPr>
              <w:t xml:space="preserve"> </w:t>
            </w:r>
            <w:proofErr w:type="spellStart"/>
            <w:r w:rsidRPr="001E042A">
              <w:rPr>
                <w:bCs/>
              </w:rPr>
              <w:t>dengan</w:t>
            </w:r>
            <w:proofErr w:type="spellEnd"/>
            <w:r w:rsidRPr="001E042A">
              <w:rPr>
                <w:bCs/>
              </w:rPr>
              <w:t xml:space="preserve"> docking ligan pada situs </w:t>
            </w:r>
            <w:proofErr w:type="spellStart"/>
            <w:r w:rsidRPr="001E042A">
              <w:rPr>
                <w:bCs/>
              </w:rPr>
              <w:t>aktif</w:t>
            </w:r>
            <w:proofErr w:type="spellEnd"/>
            <w:r w:rsidRPr="001E042A">
              <w:rPr>
                <w:bCs/>
              </w:rPr>
              <w:t xml:space="preserve"> SGLT-2. Ligan </w:t>
            </w:r>
            <w:proofErr w:type="spellStart"/>
            <w:r w:rsidRPr="001E042A">
              <w:rPr>
                <w:bCs/>
              </w:rPr>
              <w:t>didocking</w:t>
            </w:r>
            <w:proofErr w:type="spellEnd"/>
            <w:r w:rsidRPr="001E042A">
              <w:rPr>
                <w:bCs/>
              </w:rPr>
              <w:t xml:space="preserve"> </w:t>
            </w:r>
            <w:proofErr w:type="spellStart"/>
            <w:r w:rsidRPr="001E042A">
              <w:rPr>
                <w:bCs/>
              </w:rPr>
              <w:t>dengan</w:t>
            </w:r>
            <w:proofErr w:type="spellEnd"/>
            <w:r w:rsidRPr="001E042A">
              <w:rPr>
                <w:bCs/>
              </w:rPr>
              <w:t xml:space="preserve"> 100 </w:t>
            </w:r>
            <w:proofErr w:type="spellStart"/>
            <w:r w:rsidRPr="001E042A">
              <w:rPr>
                <w:bCs/>
              </w:rPr>
              <w:t>iterasi</w:t>
            </w:r>
            <w:proofErr w:type="spellEnd"/>
            <w:r w:rsidRPr="001E042A">
              <w:rPr>
                <w:bCs/>
              </w:rPr>
              <w:t xml:space="preserve"> </w:t>
            </w:r>
            <w:proofErr w:type="spellStart"/>
            <w:r w:rsidRPr="001E042A">
              <w:rPr>
                <w:bCs/>
              </w:rPr>
              <w:t>untuk</w:t>
            </w:r>
            <w:proofErr w:type="spellEnd"/>
            <w:r w:rsidRPr="001E042A">
              <w:rPr>
                <w:bCs/>
              </w:rPr>
              <w:t xml:space="preserve"> </w:t>
            </w:r>
            <w:proofErr w:type="spellStart"/>
            <w:r w:rsidRPr="001E042A">
              <w:rPr>
                <w:bCs/>
              </w:rPr>
              <w:t>memperoleh</w:t>
            </w:r>
            <w:proofErr w:type="spellEnd"/>
            <w:r w:rsidRPr="001E042A">
              <w:rPr>
                <w:bCs/>
              </w:rPr>
              <w:t xml:space="preserve"> </w:t>
            </w:r>
            <w:proofErr w:type="spellStart"/>
            <w:r w:rsidRPr="001E042A">
              <w:rPr>
                <w:bCs/>
              </w:rPr>
              <w:t>konformasi</w:t>
            </w:r>
            <w:proofErr w:type="spellEnd"/>
            <w:r w:rsidRPr="001E042A">
              <w:rPr>
                <w:bCs/>
              </w:rPr>
              <w:t xml:space="preserve"> </w:t>
            </w:r>
            <w:proofErr w:type="spellStart"/>
            <w:r w:rsidRPr="001E042A">
              <w:rPr>
                <w:bCs/>
              </w:rPr>
              <w:t>ikatan</w:t>
            </w:r>
            <w:proofErr w:type="spellEnd"/>
            <w:r w:rsidRPr="001E042A">
              <w:rPr>
                <w:bCs/>
              </w:rPr>
              <w:t xml:space="preserve"> yang optimal. </w:t>
            </w:r>
            <w:proofErr w:type="spellStart"/>
            <w:r w:rsidRPr="001E042A">
              <w:rPr>
                <w:bCs/>
              </w:rPr>
              <w:t>Interaksi</w:t>
            </w:r>
            <w:proofErr w:type="spellEnd"/>
            <w:r w:rsidRPr="001E042A">
              <w:rPr>
                <w:bCs/>
              </w:rPr>
              <w:t xml:space="preserve"> </w:t>
            </w:r>
            <w:proofErr w:type="spellStart"/>
            <w:r w:rsidRPr="001E042A">
              <w:rPr>
                <w:bCs/>
              </w:rPr>
              <w:t>dianalisis</w:t>
            </w:r>
            <w:proofErr w:type="spellEnd"/>
            <w:r w:rsidRPr="001E042A">
              <w:rPr>
                <w:bCs/>
              </w:rPr>
              <w:t xml:space="preserve"> </w:t>
            </w:r>
            <w:proofErr w:type="spellStart"/>
            <w:r w:rsidRPr="001E042A">
              <w:rPr>
                <w:bCs/>
              </w:rPr>
              <w:t>berdasarkan</w:t>
            </w:r>
            <w:proofErr w:type="spellEnd"/>
            <w:r w:rsidRPr="001E042A">
              <w:rPr>
                <w:bCs/>
              </w:rPr>
              <w:t xml:space="preserve"> </w:t>
            </w:r>
            <w:proofErr w:type="spellStart"/>
            <w:r w:rsidRPr="001E042A">
              <w:rPr>
                <w:bCs/>
              </w:rPr>
              <w:t>energi</w:t>
            </w:r>
            <w:proofErr w:type="spellEnd"/>
            <w:r w:rsidRPr="001E042A">
              <w:rPr>
                <w:bCs/>
              </w:rPr>
              <w:t xml:space="preserve"> </w:t>
            </w:r>
            <w:proofErr w:type="spellStart"/>
            <w:r w:rsidRPr="001E042A">
              <w:rPr>
                <w:bCs/>
              </w:rPr>
              <w:t>ikatan</w:t>
            </w:r>
            <w:proofErr w:type="spellEnd"/>
            <w:r w:rsidRPr="001E042A">
              <w:rPr>
                <w:bCs/>
              </w:rPr>
              <w:t xml:space="preserve"> dan </w:t>
            </w:r>
            <w:proofErr w:type="spellStart"/>
            <w:r w:rsidRPr="001E042A">
              <w:rPr>
                <w:bCs/>
              </w:rPr>
              <w:t>visualisasi</w:t>
            </w:r>
            <w:proofErr w:type="spellEnd"/>
            <w:r w:rsidRPr="001E042A">
              <w:rPr>
                <w:bCs/>
              </w:rPr>
              <w:t xml:space="preserve"> </w:t>
            </w:r>
            <w:proofErr w:type="spellStart"/>
            <w:r w:rsidRPr="001E042A">
              <w:rPr>
                <w:bCs/>
              </w:rPr>
              <w:t>dilakukan</w:t>
            </w:r>
            <w:proofErr w:type="spellEnd"/>
            <w:r w:rsidRPr="001E042A">
              <w:rPr>
                <w:bCs/>
              </w:rPr>
              <w:t xml:space="preserve"> </w:t>
            </w:r>
            <w:proofErr w:type="spellStart"/>
            <w:r w:rsidRPr="001E042A">
              <w:rPr>
                <w:bCs/>
              </w:rPr>
              <w:t>menggunakan</w:t>
            </w:r>
            <w:proofErr w:type="spellEnd"/>
            <w:r w:rsidRPr="001E042A">
              <w:rPr>
                <w:bCs/>
              </w:rPr>
              <w:t xml:space="preserve"> Discovery Studio.</w:t>
            </w:r>
            <w:r>
              <w:rPr>
                <w:bCs/>
              </w:rPr>
              <w:t xml:space="preserve"> </w:t>
            </w:r>
            <w:r w:rsidRPr="001E042A">
              <w:rPr>
                <w:b/>
              </w:rPr>
              <w:t>Hasil:</w:t>
            </w:r>
            <w:r>
              <w:rPr>
                <w:b/>
              </w:rPr>
              <w:t xml:space="preserve"> </w:t>
            </w:r>
            <w:proofErr w:type="spellStart"/>
            <w:r w:rsidRPr="001E042A">
              <w:rPr>
                <w:bCs/>
              </w:rPr>
              <w:t>Ircinianin</w:t>
            </w:r>
            <w:proofErr w:type="spellEnd"/>
            <w:r w:rsidRPr="001E042A">
              <w:rPr>
                <w:bCs/>
              </w:rPr>
              <w:t xml:space="preserve"> </w:t>
            </w:r>
            <w:proofErr w:type="spellStart"/>
            <w:r w:rsidRPr="001E042A">
              <w:rPr>
                <w:bCs/>
              </w:rPr>
              <w:t>menunjukkan</w:t>
            </w:r>
            <w:proofErr w:type="spellEnd"/>
            <w:r w:rsidRPr="001E042A">
              <w:rPr>
                <w:bCs/>
              </w:rPr>
              <w:t xml:space="preserve"> </w:t>
            </w:r>
            <w:proofErr w:type="spellStart"/>
            <w:r w:rsidRPr="001E042A">
              <w:rPr>
                <w:bCs/>
              </w:rPr>
              <w:t>energi</w:t>
            </w:r>
            <w:proofErr w:type="spellEnd"/>
            <w:r w:rsidRPr="001E042A">
              <w:rPr>
                <w:bCs/>
              </w:rPr>
              <w:t xml:space="preserve"> </w:t>
            </w:r>
            <w:proofErr w:type="spellStart"/>
            <w:r w:rsidRPr="001E042A">
              <w:rPr>
                <w:bCs/>
              </w:rPr>
              <w:t>ikatan</w:t>
            </w:r>
            <w:proofErr w:type="spellEnd"/>
            <w:r w:rsidRPr="001E042A">
              <w:rPr>
                <w:bCs/>
              </w:rPr>
              <w:t xml:space="preserve"> </w:t>
            </w:r>
            <w:proofErr w:type="spellStart"/>
            <w:r w:rsidRPr="001E042A">
              <w:rPr>
                <w:bCs/>
              </w:rPr>
              <w:t>sebesar</w:t>
            </w:r>
            <w:proofErr w:type="spellEnd"/>
            <w:r w:rsidRPr="001E042A">
              <w:rPr>
                <w:bCs/>
              </w:rPr>
              <w:t xml:space="preserve"> -10,76 kcal/mol, </w:t>
            </w:r>
            <w:proofErr w:type="spellStart"/>
            <w:r w:rsidRPr="001E042A">
              <w:rPr>
                <w:bCs/>
              </w:rPr>
              <w:t>sedikit</w:t>
            </w:r>
            <w:proofErr w:type="spellEnd"/>
            <w:r w:rsidRPr="001E042A">
              <w:rPr>
                <w:bCs/>
              </w:rPr>
              <w:t xml:space="preserve"> </w:t>
            </w:r>
            <w:proofErr w:type="spellStart"/>
            <w:r w:rsidRPr="001E042A">
              <w:rPr>
                <w:bCs/>
              </w:rPr>
              <w:t>lebih</w:t>
            </w:r>
            <w:proofErr w:type="spellEnd"/>
            <w:r w:rsidRPr="001E042A">
              <w:rPr>
                <w:bCs/>
              </w:rPr>
              <w:t xml:space="preserve"> </w:t>
            </w:r>
            <w:proofErr w:type="spellStart"/>
            <w:r w:rsidRPr="001E042A">
              <w:rPr>
                <w:bCs/>
              </w:rPr>
              <w:t>tinggi</w:t>
            </w:r>
            <w:proofErr w:type="spellEnd"/>
            <w:r w:rsidRPr="001E042A">
              <w:rPr>
                <w:bCs/>
              </w:rPr>
              <w:t xml:space="preserve"> </w:t>
            </w:r>
            <w:proofErr w:type="spellStart"/>
            <w:r w:rsidRPr="001E042A">
              <w:rPr>
                <w:bCs/>
              </w:rPr>
              <w:t>dibandingkan</w:t>
            </w:r>
            <w:proofErr w:type="spellEnd"/>
            <w:r w:rsidRPr="001E042A">
              <w:rPr>
                <w:bCs/>
              </w:rPr>
              <w:t xml:space="preserve"> native ligand (-11,46 kcal/mol). </w:t>
            </w:r>
            <w:proofErr w:type="spellStart"/>
            <w:r w:rsidRPr="001E042A">
              <w:rPr>
                <w:bCs/>
              </w:rPr>
              <w:t>Ircinianin</w:t>
            </w:r>
            <w:proofErr w:type="spellEnd"/>
            <w:r w:rsidRPr="001E042A">
              <w:rPr>
                <w:bCs/>
              </w:rPr>
              <w:t xml:space="preserve"> </w:t>
            </w:r>
            <w:proofErr w:type="spellStart"/>
            <w:r w:rsidRPr="001E042A">
              <w:rPr>
                <w:bCs/>
              </w:rPr>
              <w:t>membentuk</w:t>
            </w:r>
            <w:proofErr w:type="spellEnd"/>
            <w:r w:rsidRPr="001E042A">
              <w:rPr>
                <w:bCs/>
              </w:rPr>
              <w:t xml:space="preserve"> dua </w:t>
            </w:r>
            <w:proofErr w:type="spellStart"/>
            <w:r w:rsidRPr="001E042A">
              <w:rPr>
                <w:bCs/>
              </w:rPr>
              <w:t>ikatan</w:t>
            </w:r>
            <w:proofErr w:type="spellEnd"/>
            <w:r w:rsidRPr="001E042A">
              <w:rPr>
                <w:bCs/>
              </w:rPr>
              <w:t xml:space="preserve"> </w:t>
            </w:r>
            <w:proofErr w:type="spellStart"/>
            <w:r w:rsidRPr="001E042A">
              <w:rPr>
                <w:bCs/>
              </w:rPr>
              <w:t>hidrogen</w:t>
            </w:r>
            <w:proofErr w:type="spellEnd"/>
            <w:r w:rsidRPr="001E042A">
              <w:rPr>
                <w:bCs/>
              </w:rPr>
              <w:t xml:space="preserve"> </w:t>
            </w:r>
            <w:proofErr w:type="spellStart"/>
            <w:r w:rsidRPr="001E042A">
              <w:rPr>
                <w:bCs/>
              </w:rPr>
              <w:t>dengan</w:t>
            </w:r>
            <w:proofErr w:type="spellEnd"/>
            <w:r w:rsidRPr="001E042A">
              <w:rPr>
                <w:bCs/>
              </w:rPr>
              <w:t xml:space="preserve"> </w:t>
            </w:r>
            <w:proofErr w:type="spellStart"/>
            <w:r w:rsidRPr="001E042A">
              <w:rPr>
                <w:bCs/>
              </w:rPr>
              <w:t>residu</w:t>
            </w:r>
            <w:proofErr w:type="spellEnd"/>
            <w:r w:rsidRPr="001E042A">
              <w:rPr>
                <w:bCs/>
              </w:rPr>
              <w:t xml:space="preserve"> PHE:98 dan TRP:291.</w:t>
            </w:r>
            <w:r>
              <w:rPr>
                <w:bCs/>
              </w:rPr>
              <w:t xml:space="preserve"> </w:t>
            </w:r>
            <w:r w:rsidRPr="001E042A">
              <w:rPr>
                <w:b/>
              </w:rPr>
              <w:t>Kesimpulan dan Saran:</w:t>
            </w:r>
            <w:r>
              <w:rPr>
                <w:b/>
              </w:rPr>
              <w:t xml:space="preserve"> </w:t>
            </w:r>
            <w:proofErr w:type="spellStart"/>
            <w:r w:rsidRPr="001E042A">
              <w:rPr>
                <w:bCs/>
              </w:rPr>
              <w:t>Ircinianin</w:t>
            </w:r>
            <w:proofErr w:type="spellEnd"/>
            <w:r w:rsidRPr="001E042A">
              <w:rPr>
                <w:bCs/>
              </w:rPr>
              <w:t xml:space="preserve"> </w:t>
            </w:r>
            <w:proofErr w:type="spellStart"/>
            <w:r w:rsidRPr="001E042A">
              <w:rPr>
                <w:bCs/>
              </w:rPr>
              <w:t>memiliki</w:t>
            </w:r>
            <w:proofErr w:type="spellEnd"/>
            <w:r w:rsidRPr="001E042A">
              <w:rPr>
                <w:bCs/>
              </w:rPr>
              <w:t xml:space="preserve"> </w:t>
            </w:r>
            <w:proofErr w:type="spellStart"/>
            <w:r w:rsidRPr="001E042A">
              <w:rPr>
                <w:bCs/>
              </w:rPr>
              <w:t>potensi</w:t>
            </w:r>
            <w:proofErr w:type="spellEnd"/>
            <w:r w:rsidRPr="001E042A">
              <w:rPr>
                <w:bCs/>
              </w:rPr>
              <w:t xml:space="preserve"> </w:t>
            </w:r>
            <w:proofErr w:type="spellStart"/>
            <w:r w:rsidRPr="001E042A">
              <w:rPr>
                <w:bCs/>
              </w:rPr>
              <w:t>sebagai</w:t>
            </w:r>
            <w:proofErr w:type="spellEnd"/>
            <w:r w:rsidRPr="001E042A">
              <w:rPr>
                <w:bCs/>
              </w:rPr>
              <w:t xml:space="preserve"> inhibitor SGLT-2, </w:t>
            </w:r>
            <w:proofErr w:type="spellStart"/>
            <w:r w:rsidRPr="001E042A">
              <w:rPr>
                <w:bCs/>
              </w:rPr>
              <w:t>meskipun</w:t>
            </w:r>
            <w:proofErr w:type="spellEnd"/>
            <w:r w:rsidRPr="001E042A">
              <w:rPr>
                <w:bCs/>
              </w:rPr>
              <w:t xml:space="preserve"> </w:t>
            </w:r>
            <w:proofErr w:type="spellStart"/>
            <w:r w:rsidRPr="001E042A">
              <w:rPr>
                <w:bCs/>
              </w:rPr>
              <w:t>ikatan</w:t>
            </w:r>
            <w:proofErr w:type="spellEnd"/>
            <w:r w:rsidRPr="001E042A">
              <w:rPr>
                <w:bCs/>
              </w:rPr>
              <w:t xml:space="preserve"> </w:t>
            </w:r>
            <w:proofErr w:type="spellStart"/>
            <w:r w:rsidRPr="001E042A">
              <w:rPr>
                <w:bCs/>
              </w:rPr>
              <w:t>hidrogennya</w:t>
            </w:r>
            <w:proofErr w:type="spellEnd"/>
            <w:r w:rsidRPr="001E042A">
              <w:rPr>
                <w:bCs/>
              </w:rPr>
              <w:t xml:space="preserve"> </w:t>
            </w:r>
            <w:proofErr w:type="spellStart"/>
            <w:r w:rsidRPr="001E042A">
              <w:rPr>
                <w:bCs/>
              </w:rPr>
              <w:t>lebih</w:t>
            </w:r>
            <w:proofErr w:type="spellEnd"/>
            <w:r w:rsidRPr="001E042A">
              <w:rPr>
                <w:bCs/>
              </w:rPr>
              <w:t xml:space="preserve"> </w:t>
            </w:r>
            <w:proofErr w:type="spellStart"/>
            <w:r w:rsidRPr="001E042A">
              <w:rPr>
                <w:bCs/>
              </w:rPr>
              <w:t>sedikit</w:t>
            </w:r>
            <w:proofErr w:type="spellEnd"/>
            <w:r w:rsidRPr="001E042A">
              <w:rPr>
                <w:bCs/>
              </w:rPr>
              <w:t xml:space="preserve"> </w:t>
            </w:r>
            <w:proofErr w:type="spellStart"/>
            <w:r w:rsidRPr="001E042A">
              <w:rPr>
                <w:bCs/>
              </w:rPr>
              <w:t>dibandingkan</w:t>
            </w:r>
            <w:proofErr w:type="spellEnd"/>
            <w:r w:rsidRPr="001E042A">
              <w:rPr>
                <w:bCs/>
              </w:rPr>
              <w:t xml:space="preserve"> ligan </w:t>
            </w:r>
            <w:proofErr w:type="spellStart"/>
            <w:r w:rsidRPr="001E042A">
              <w:rPr>
                <w:bCs/>
              </w:rPr>
              <w:t>asli</w:t>
            </w:r>
            <w:proofErr w:type="spellEnd"/>
            <w:r w:rsidRPr="001E042A">
              <w:rPr>
                <w:bCs/>
              </w:rPr>
              <w:t xml:space="preserve">. </w:t>
            </w:r>
            <w:proofErr w:type="spellStart"/>
            <w:r w:rsidRPr="001E042A">
              <w:rPr>
                <w:bCs/>
              </w:rPr>
              <w:t>Penelitian</w:t>
            </w:r>
            <w:proofErr w:type="spellEnd"/>
            <w:r w:rsidRPr="001E042A">
              <w:rPr>
                <w:bCs/>
              </w:rPr>
              <w:t xml:space="preserve"> </w:t>
            </w:r>
            <w:proofErr w:type="spellStart"/>
            <w:r w:rsidRPr="001E042A">
              <w:rPr>
                <w:bCs/>
              </w:rPr>
              <w:t>lebih</w:t>
            </w:r>
            <w:proofErr w:type="spellEnd"/>
            <w:r w:rsidRPr="001E042A">
              <w:rPr>
                <w:bCs/>
              </w:rPr>
              <w:t xml:space="preserve"> </w:t>
            </w:r>
            <w:proofErr w:type="spellStart"/>
            <w:r w:rsidRPr="001E042A">
              <w:rPr>
                <w:bCs/>
              </w:rPr>
              <w:t>lanjut</w:t>
            </w:r>
            <w:proofErr w:type="spellEnd"/>
            <w:r w:rsidRPr="001E042A">
              <w:rPr>
                <w:bCs/>
              </w:rPr>
              <w:t xml:space="preserve"> </w:t>
            </w:r>
            <w:proofErr w:type="spellStart"/>
            <w:r w:rsidRPr="001E042A">
              <w:rPr>
                <w:bCs/>
              </w:rPr>
              <w:t>diperlukan</w:t>
            </w:r>
            <w:proofErr w:type="spellEnd"/>
            <w:r w:rsidRPr="001E042A">
              <w:rPr>
                <w:bCs/>
              </w:rPr>
              <w:t xml:space="preserve"> </w:t>
            </w:r>
            <w:proofErr w:type="spellStart"/>
            <w:r w:rsidRPr="001E042A">
              <w:rPr>
                <w:bCs/>
              </w:rPr>
              <w:t>untuk</w:t>
            </w:r>
            <w:proofErr w:type="spellEnd"/>
            <w:r w:rsidRPr="001E042A">
              <w:rPr>
                <w:bCs/>
              </w:rPr>
              <w:t xml:space="preserve"> </w:t>
            </w:r>
            <w:proofErr w:type="spellStart"/>
            <w:r w:rsidRPr="001E042A">
              <w:rPr>
                <w:bCs/>
              </w:rPr>
              <w:t>mengeksplorasi</w:t>
            </w:r>
            <w:proofErr w:type="spellEnd"/>
            <w:r w:rsidRPr="001E042A">
              <w:rPr>
                <w:bCs/>
              </w:rPr>
              <w:t xml:space="preserve"> </w:t>
            </w:r>
            <w:proofErr w:type="spellStart"/>
            <w:r w:rsidRPr="001E042A">
              <w:rPr>
                <w:bCs/>
              </w:rPr>
              <w:t>potensi</w:t>
            </w:r>
            <w:proofErr w:type="spellEnd"/>
            <w:r w:rsidRPr="001E042A">
              <w:rPr>
                <w:bCs/>
              </w:rPr>
              <w:t xml:space="preserve"> </w:t>
            </w:r>
            <w:proofErr w:type="spellStart"/>
            <w:r w:rsidRPr="001E042A">
              <w:rPr>
                <w:bCs/>
              </w:rPr>
              <w:t>terapeutik</w:t>
            </w:r>
            <w:proofErr w:type="spellEnd"/>
            <w:r w:rsidRPr="001E042A">
              <w:rPr>
                <w:bCs/>
              </w:rPr>
              <w:t xml:space="preserve"> </w:t>
            </w:r>
            <w:proofErr w:type="spellStart"/>
            <w:r w:rsidRPr="001E042A">
              <w:rPr>
                <w:bCs/>
              </w:rPr>
              <w:t>ircinianin</w:t>
            </w:r>
            <w:proofErr w:type="spellEnd"/>
            <w:r w:rsidRPr="001E042A">
              <w:rPr>
                <w:bCs/>
              </w:rPr>
              <w:t xml:space="preserve"> </w:t>
            </w:r>
            <w:proofErr w:type="spellStart"/>
            <w:r w:rsidRPr="001E042A">
              <w:rPr>
                <w:bCs/>
              </w:rPr>
              <w:t>dalam</w:t>
            </w:r>
            <w:proofErr w:type="spellEnd"/>
            <w:r w:rsidRPr="001E042A">
              <w:rPr>
                <w:bCs/>
              </w:rPr>
              <w:t xml:space="preserve"> </w:t>
            </w:r>
            <w:proofErr w:type="spellStart"/>
            <w:r w:rsidRPr="001E042A">
              <w:rPr>
                <w:bCs/>
              </w:rPr>
              <w:t>pengobatan</w:t>
            </w:r>
            <w:proofErr w:type="spellEnd"/>
            <w:r w:rsidRPr="001E042A">
              <w:rPr>
                <w:bCs/>
              </w:rPr>
              <w:t xml:space="preserve"> diabetes </w:t>
            </w:r>
            <w:proofErr w:type="spellStart"/>
            <w:r w:rsidRPr="001E042A">
              <w:rPr>
                <w:bCs/>
              </w:rPr>
              <w:t>tipe</w:t>
            </w:r>
            <w:proofErr w:type="spellEnd"/>
            <w:r w:rsidRPr="001E042A">
              <w:rPr>
                <w:bCs/>
              </w:rPr>
              <w:t xml:space="preserve"> 2</w:t>
            </w:r>
            <w:r>
              <w:t>.</w:t>
            </w:r>
          </w:p>
        </w:tc>
      </w:tr>
      <w:tr w:rsidR="00A12DB7" w14:paraId="4BF56393" w14:textId="77777777" w:rsidTr="0055003B">
        <w:tc>
          <w:tcPr>
            <w:tcW w:w="2025" w:type="dxa"/>
            <w:shd w:val="clear" w:color="auto" w:fill="auto"/>
          </w:tcPr>
          <w:p w14:paraId="08A2F788" w14:textId="77777777" w:rsidR="00A12DB7" w:rsidRDefault="00000000">
            <w:pPr>
              <w:ind w:left="-108" w:right="-65"/>
            </w:pPr>
            <w:proofErr w:type="spellStart"/>
            <w:r>
              <w:t>Diterima</w:t>
            </w:r>
            <w:proofErr w:type="spellEnd"/>
          </w:p>
          <w:p w14:paraId="38BEF504" w14:textId="74E6EC10" w:rsidR="00CB4F6F" w:rsidRDefault="00256F0D">
            <w:pPr>
              <w:ind w:left="-108" w:right="-65"/>
            </w:pPr>
            <w:r>
              <w:t xml:space="preserve">06 November </w:t>
            </w:r>
            <w:r w:rsidRPr="00256F0D">
              <w:t>2024</w:t>
            </w:r>
          </w:p>
        </w:tc>
        <w:tc>
          <w:tcPr>
            <w:tcW w:w="250" w:type="dxa"/>
            <w:shd w:val="clear" w:color="auto" w:fill="auto"/>
          </w:tcPr>
          <w:p w14:paraId="10CA59B2" w14:textId="77777777" w:rsidR="00A12DB7" w:rsidRDefault="00A12DB7">
            <w:pPr>
              <w:rPr>
                <w:sz w:val="22"/>
                <w:szCs w:val="22"/>
              </w:rPr>
            </w:pPr>
          </w:p>
        </w:tc>
        <w:tc>
          <w:tcPr>
            <w:tcW w:w="6656" w:type="dxa"/>
            <w:vMerge/>
            <w:shd w:val="clear" w:color="auto" w:fill="auto"/>
          </w:tcPr>
          <w:p w14:paraId="3DDFC0D4" w14:textId="77777777" w:rsidR="00A12DB7" w:rsidRDefault="00A12DB7">
            <w:pPr>
              <w:widowControl w:val="0"/>
              <w:pBdr>
                <w:top w:val="nil"/>
                <w:left w:val="nil"/>
                <w:bottom w:val="nil"/>
                <w:right w:val="nil"/>
                <w:between w:val="nil"/>
              </w:pBdr>
              <w:spacing w:line="276" w:lineRule="auto"/>
              <w:rPr>
                <w:sz w:val="22"/>
                <w:szCs w:val="22"/>
              </w:rPr>
            </w:pPr>
          </w:p>
        </w:tc>
      </w:tr>
      <w:tr w:rsidR="00A12DB7" w14:paraId="4F45DCBD" w14:textId="77777777" w:rsidTr="0055003B">
        <w:tc>
          <w:tcPr>
            <w:tcW w:w="2025" w:type="dxa"/>
            <w:shd w:val="clear" w:color="auto" w:fill="auto"/>
          </w:tcPr>
          <w:p w14:paraId="602F4BB7" w14:textId="77777777" w:rsidR="00A12DB7" w:rsidRDefault="00000000">
            <w:pPr>
              <w:ind w:left="-108"/>
            </w:pPr>
            <w:proofErr w:type="spellStart"/>
            <w:r>
              <w:t>Disetujui</w:t>
            </w:r>
            <w:proofErr w:type="spellEnd"/>
          </w:p>
          <w:p w14:paraId="1FF9E116" w14:textId="627DABCE" w:rsidR="00CB4F6F" w:rsidRDefault="00256F0D">
            <w:pPr>
              <w:ind w:left="-108"/>
            </w:pPr>
            <w:r>
              <w:t>22 November 2024</w:t>
            </w:r>
          </w:p>
        </w:tc>
        <w:tc>
          <w:tcPr>
            <w:tcW w:w="250" w:type="dxa"/>
            <w:shd w:val="clear" w:color="auto" w:fill="auto"/>
          </w:tcPr>
          <w:p w14:paraId="503CC4EF" w14:textId="77777777" w:rsidR="00A12DB7" w:rsidRDefault="00A12DB7">
            <w:pPr>
              <w:rPr>
                <w:sz w:val="22"/>
                <w:szCs w:val="22"/>
              </w:rPr>
            </w:pPr>
          </w:p>
        </w:tc>
        <w:tc>
          <w:tcPr>
            <w:tcW w:w="6656" w:type="dxa"/>
            <w:vMerge/>
            <w:shd w:val="clear" w:color="auto" w:fill="auto"/>
          </w:tcPr>
          <w:p w14:paraId="465BEAA7" w14:textId="77777777" w:rsidR="00A12DB7" w:rsidRDefault="00A12DB7">
            <w:pPr>
              <w:widowControl w:val="0"/>
              <w:pBdr>
                <w:top w:val="nil"/>
                <w:left w:val="nil"/>
                <w:bottom w:val="nil"/>
                <w:right w:val="nil"/>
                <w:between w:val="nil"/>
              </w:pBdr>
              <w:spacing w:line="276" w:lineRule="auto"/>
              <w:rPr>
                <w:sz w:val="22"/>
                <w:szCs w:val="22"/>
              </w:rPr>
            </w:pPr>
          </w:p>
        </w:tc>
      </w:tr>
      <w:tr w:rsidR="00A12DB7" w14:paraId="3963C16B" w14:textId="77777777" w:rsidTr="0055003B">
        <w:tc>
          <w:tcPr>
            <w:tcW w:w="2025" w:type="dxa"/>
            <w:shd w:val="clear" w:color="auto" w:fill="auto"/>
          </w:tcPr>
          <w:p w14:paraId="4763BC1E" w14:textId="77777777" w:rsidR="00A12DB7" w:rsidRDefault="00000000">
            <w:pPr>
              <w:ind w:left="-108"/>
            </w:pPr>
            <w:proofErr w:type="spellStart"/>
            <w:r>
              <w:t>Dipublikasikan</w:t>
            </w:r>
            <w:proofErr w:type="spellEnd"/>
          </w:p>
          <w:p w14:paraId="463210DB" w14:textId="0B834F52" w:rsidR="00CB4F6F" w:rsidRDefault="00256F0D">
            <w:pPr>
              <w:ind w:left="-108"/>
            </w:pPr>
            <w:r>
              <w:t>30 November 2024</w:t>
            </w:r>
          </w:p>
        </w:tc>
        <w:tc>
          <w:tcPr>
            <w:tcW w:w="250" w:type="dxa"/>
            <w:shd w:val="clear" w:color="auto" w:fill="auto"/>
          </w:tcPr>
          <w:p w14:paraId="09BD855E" w14:textId="77777777" w:rsidR="00A12DB7" w:rsidRDefault="00A12DB7">
            <w:pPr>
              <w:rPr>
                <w:sz w:val="22"/>
                <w:szCs w:val="22"/>
              </w:rPr>
            </w:pPr>
          </w:p>
        </w:tc>
        <w:tc>
          <w:tcPr>
            <w:tcW w:w="6656" w:type="dxa"/>
            <w:vMerge/>
            <w:shd w:val="clear" w:color="auto" w:fill="auto"/>
          </w:tcPr>
          <w:p w14:paraId="46B21887" w14:textId="77777777" w:rsidR="00A12DB7" w:rsidRDefault="00A12DB7">
            <w:pPr>
              <w:widowControl w:val="0"/>
              <w:pBdr>
                <w:top w:val="nil"/>
                <w:left w:val="nil"/>
                <w:bottom w:val="nil"/>
                <w:right w:val="nil"/>
                <w:between w:val="nil"/>
              </w:pBdr>
              <w:spacing w:line="276" w:lineRule="auto"/>
              <w:rPr>
                <w:sz w:val="22"/>
                <w:szCs w:val="22"/>
              </w:rPr>
            </w:pPr>
          </w:p>
        </w:tc>
      </w:tr>
      <w:tr w:rsidR="00A12DB7" w14:paraId="695CC9D2" w14:textId="77777777" w:rsidTr="0055003B">
        <w:tc>
          <w:tcPr>
            <w:tcW w:w="2025" w:type="dxa"/>
            <w:shd w:val="clear" w:color="auto" w:fill="auto"/>
          </w:tcPr>
          <w:p w14:paraId="42FFFF8F" w14:textId="77777777" w:rsidR="00A12DB7" w:rsidRDefault="00A12DB7">
            <w:pPr>
              <w:ind w:left="-108"/>
            </w:pPr>
          </w:p>
        </w:tc>
        <w:tc>
          <w:tcPr>
            <w:tcW w:w="250" w:type="dxa"/>
            <w:shd w:val="clear" w:color="auto" w:fill="auto"/>
          </w:tcPr>
          <w:p w14:paraId="71FBFB0C" w14:textId="77777777" w:rsidR="00A12DB7" w:rsidRDefault="00A12DB7">
            <w:pPr>
              <w:rPr>
                <w:sz w:val="22"/>
                <w:szCs w:val="22"/>
              </w:rPr>
            </w:pPr>
          </w:p>
        </w:tc>
        <w:tc>
          <w:tcPr>
            <w:tcW w:w="6656" w:type="dxa"/>
            <w:vMerge/>
            <w:shd w:val="clear" w:color="auto" w:fill="auto"/>
          </w:tcPr>
          <w:p w14:paraId="6ADADCFD" w14:textId="77777777" w:rsidR="00A12DB7" w:rsidRDefault="00A12DB7">
            <w:pPr>
              <w:widowControl w:val="0"/>
              <w:pBdr>
                <w:top w:val="nil"/>
                <w:left w:val="nil"/>
                <w:bottom w:val="nil"/>
                <w:right w:val="nil"/>
                <w:between w:val="nil"/>
              </w:pBdr>
              <w:spacing w:line="276" w:lineRule="auto"/>
              <w:rPr>
                <w:sz w:val="22"/>
                <w:szCs w:val="22"/>
              </w:rPr>
            </w:pPr>
          </w:p>
        </w:tc>
      </w:tr>
      <w:tr w:rsidR="00A12DB7" w14:paraId="4DA71F10" w14:textId="77777777" w:rsidTr="0055003B">
        <w:tc>
          <w:tcPr>
            <w:tcW w:w="2025" w:type="dxa"/>
            <w:shd w:val="clear" w:color="auto" w:fill="auto"/>
          </w:tcPr>
          <w:p w14:paraId="27B77D7E" w14:textId="77777777" w:rsidR="00A12DB7" w:rsidRDefault="00A12DB7"/>
        </w:tc>
        <w:tc>
          <w:tcPr>
            <w:tcW w:w="250" w:type="dxa"/>
            <w:shd w:val="clear" w:color="auto" w:fill="auto"/>
          </w:tcPr>
          <w:p w14:paraId="45561C72" w14:textId="77777777" w:rsidR="00A12DB7" w:rsidRDefault="00A12DB7">
            <w:pPr>
              <w:rPr>
                <w:sz w:val="22"/>
                <w:szCs w:val="22"/>
              </w:rPr>
            </w:pPr>
          </w:p>
        </w:tc>
        <w:tc>
          <w:tcPr>
            <w:tcW w:w="6656" w:type="dxa"/>
            <w:vMerge/>
            <w:shd w:val="clear" w:color="auto" w:fill="auto"/>
          </w:tcPr>
          <w:p w14:paraId="138E1ACE" w14:textId="77777777" w:rsidR="00A12DB7" w:rsidRDefault="00A12DB7">
            <w:pPr>
              <w:widowControl w:val="0"/>
              <w:pBdr>
                <w:top w:val="nil"/>
                <w:left w:val="nil"/>
                <w:bottom w:val="nil"/>
                <w:right w:val="nil"/>
                <w:between w:val="nil"/>
              </w:pBdr>
              <w:spacing w:line="276" w:lineRule="auto"/>
              <w:rPr>
                <w:sz w:val="22"/>
                <w:szCs w:val="22"/>
              </w:rPr>
            </w:pPr>
          </w:p>
        </w:tc>
      </w:tr>
      <w:tr w:rsidR="00A12DB7" w14:paraId="28B75ABE" w14:textId="77777777" w:rsidTr="0055003B">
        <w:tc>
          <w:tcPr>
            <w:tcW w:w="2025" w:type="dxa"/>
            <w:shd w:val="clear" w:color="auto" w:fill="auto"/>
          </w:tcPr>
          <w:p w14:paraId="1F5F7491" w14:textId="77777777" w:rsidR="00A12DB7" w:rsidRDefault="00000000">
            <w:pPr>
              <w:ind w:left="-108"/>
              <w:rPr>
                <w:b/>
                <w:u w:val="single"/>
              </w:rPr>
            </w:pPr>
            <w:r>
              <w:rPr>
                <w:b/>
                <w:u w:val="single"/>
              </w:rPr>
              <w:t xml:space="preserve">Kata </w:t>
            </w:r>
            <w:proofErr w:type="spellStart"/>
            <w:r>
              <w:rPr>
                <w:b/>
                <w:u w:val="single"/>
              </w:rPr>
              <w:t>Kunci</w:t>
            </w:r>
            <w:proofErr w:type="spellEnd"/>
            <w:r>
              <w:rPr>
                <w:b/>
                <w:u w:val="single"/>
              </w:rPr>
              <w:t>:</w:t>
            </w:r>
          </w:p>
        </w:tc>
        <w:tc>
          <w:tcPr>
            <w:tcW w:w="250" w:type="dxa"/>
            <w:shd w:val="clear" w:color="auto" w:fill="auto"/>
          </w:tcPr>
          <w:p w14:paraId="2C07AAA8" w14:textId="77777777" w:rsidR="00A12DB7" w:rsidRDefault="00A12DB7">
            <w:pPr>
              <w:rPr>
                <w:sz w:val="22"/>
                <w:szCs w:val="22"/>
              </w:rPr>
            </w:pPr>
          </w:p>
        </w:tc>
        <w:tc>
          <w:tcPr>
            <w:tcW w:w="6656" w:type="dxa"/>
            <w:vMerge/>
            <w:shd w:val="clear" w:color="auto" w:fill="auto"/>
          </w:tcPr>
          <w:p w14:paraId="3D2AA98D" w14:textId="77777777" w:rsidR="00A12DB7" w:rsidRDefault="00A12DB7">
            <w:pPr>
              <w:widowControl w:val="0"/>
              <w:pBdr>
                <w:top w:val="nil"/>
                <w:left w:val="nil"/>
                <w:bottom w:val="nil"/>
                <w:right w:val="nil"/>
                <w:between w:val="nil"/>
              </w:pBdr>
              <w:spacing w:line="276" w:lineRule="auto"/>
              <w:rPr>
                <w:sz w:val="22"/>
                <w:szCs w:val="22"/>
              </w:rPr>
            </w:pPr>
          </w:p>
        </w:tc>
      </w:tr>
      <w:tr w:rsidR="00A12DB7" w14:paraId="5914708F" w14:textId="77777777" w:rsidTr="0055003B">
        <w:trPr>
          <w:trHeight w:val="925"/>
        </w:trPr>
        <w:tc>
          <w:tcPr>
            <w:tcW w:w="2025" w:type="dxa"/>
            <w:shd w:val="clear" w:color="auto" w:fill="auto"/>
          </w:tcPr>
          <w:p w14:paraId="1D2100AB" w14:textId="77777777" w:rsidR="00A12DB7" w:rsidRDefault="00CF4118">
            <w:pPr>
              <w:ind w:left="-108"/>
            </w:pPr>
            <w:proofErr w:type="spellStart"/>
            <w:r w:rsidRPr="00CF4118">
              <w:t>Ircinianin</w:t>
            </w:r>
            <w:proofErr w:type="spellEnd"/>
            <w:r w:rsidRPr="00CF4118">
              <w:t xml:space="preserve">, SGLT-2, </w:t>
            </w:r>
            <w:r w:rsidR="0038409E" w:rsidRPr="0038409E">
              <w:rPr>
                <w:i/>
                <w:iCs/>
              </w:rPr>
              <w:t>molecular docking</w:t>
            </w:r>
          </w:p>
        </w:tc>
        <w:tc>
          <w:tcPr>
            <w:tcW w:w="250" w:type="dxa"/>
            <w:shd w:val="clear" w:color="auto" w:fill="auto"/>
          </w:tcPr>
          <w:p w14:paraId="16236B34" w14:textId="77777777" w:rsidR="00A12DB7" w:rsidRDefault="00A12DB7">
            <w:pPr>
              <w:rPr>
                <w:sz w:val="22"/>
                <w:szCs w:val="22"/>
              </w:rPr>
            </w:pPr>
          </w:p>
        </w:tc>
        <w:tc>
          <w:tcPr>
            <w:tcW w:w="6656" w:type="dxa"/>
            <w:vMerge/>
            <w:shd w:val="clear" w:color="auto" w:fill="auto"/>
          </w:tcPr>
          <w:p w14:paraId="67D45D84" w14:textId="77777777" w:rsidR="00A12DB7" w:rsidRDefault="00A12DB7">
            <w:pPr>
              <w:widowControl w:val="0"/>
              <w:pBdr>
                <w:top w:val="nil"/>
                <w:left w:val="nil"/>
                <w:bottom w:val="nil"/>
                <w:right w:val="nil"/>
                <w:between w:val="nil"/>
              </w:pBdr>
              <w:spacing w:line="276" w:lineRule="auto"/>
              <w:rPr>
                <w:sz w:val="22"/>
                <w:szCs w:val="22"/>
              </w:rPr>
            </w:pPr>
          </w:p>
        </w:tc>
      </w:tr>
      <w:tr w:rsidR="00A12DB7" w14:paraId="5638013A" w14:textId="77777777" w:rsidTr="0055003B">
        <w:trPr>
          <w:trHeight w:val="244"/>
        </w:trPr>
        <w:tc>
          <w:tcPr>
            <w:tcW w:w="2025" w:type="dxa"/>
            <w:shd w:val="clear" w:color="auto" w:fill="auto"/>
          </w:tcPr>
          <w:p w14:paraId="002F1577" w14:textId="77777777" w:rsidR="00A12DB7" w:rsidRDefault="00000000">
            <w:pPr>
              <w:ind w:left="-108"/>
              <w:jc w:val="both"/>
              <w:rPr>
                <w:i/>
                <w:u w:val="single"/>
              </w:rPr>
            </w:pPr>
            <w:r>
              <w:rPr>
                <w:b/>
                <w:i/>
                <w:u w:val="single"/>
              </w:rPr>
              <w:t>Keywords:</w:t>
            </w:r>
          </w:p>
        </w:tc>
        <w:tc>
          <w:tcPr>
            <w:tcW w:w="250" w:type="dxa"/>
            <w:shd w:val="clear" w:color="auto" w:fill="auto"/>
          </w:tcPr>
          <w:p w14:paraId="29571ED8" w14:textId="77777777" w:rsidR="00A12DB7" w:rsidRDefault="00A12DB7">
            <w:pPr>
              <w:rPr>
                <w:sz w:val="22"/>
                <w:szCs w:val="22"/>
              </w:rPr>
            </w:pPr>
          </w:p>
        </w:tc>
        <w:tc>
          <w:tcPr>
            <w:tcW w:w="6656" w:type="dxa"/>
            <w:vMerge/>
            <w:shd w:val="clear" w:color="auto" w:fill="auto"/>
          </w:tcPr>
          <w:p w14:paraId="0E47092F" w14:textId="77777777" w:rsidR="00A12DB7" w:rsidRDefault="00A12DB7">
            <w:pPr>
              <w:widowControl w:val="0"/>
              <w:pBdr>
                <w:top w:val="nil"/>
                <w:left w:val="nil"/>
                <w:bottom w:val="nil"/>
                <w:right w:val="nil"/>
                <w:between w:val="nil"/>
              </w:pBdr>
              <w:spacing w:line="276" w:lineRule="auto"/>
              <w:rPr>
                <w:sz w:val="22"/>
                <w:szCs w:val="22"/>
              </w:rPr>
            </w:pPr>
          </w:p>
        </w:tc>
      </w:tr>
      <w:tr w:rsidR="00A12DB7" w14:paraId="5534F5FD" w14:textId="77777777" w:rsidTr="0055003B">
        <w:trPr>
          <w:trHeight w:val="215"/>
        </w:trPr>
        <w:tc>
          <w:tcPr>
            <w:tcW w:w="2025" w:type="dxa"/>
            <w:shd w:val="clear" w:color="auto" w:fill="auto"/>
          </w:tcPr>
          <w:p w14:paraId="6B04BF11" w14:textId="58E8268A" w:rsidR="00A12DB7" w:rsidRPr="00CB4F6F" w:rsidRDefault="007F785A" w:rsidP="00CB4F6F">
            <w:pPr>
              <w:ind w:left="-108"/>
              <w:jc w:val="both"/>
              <w:rPr>
                <w:i/>
                <w:lang w:val="en-ID"/>
              </w:rPr>
            </w:pPr>
            <w:proofErr w:type="spellStart"/>
            <w:r w:rsidRPr="007F785A">
              <w:rPr>
                <w:i/>
                <w:lang w:val="en-ID"/>
              </w:rPr>
              <w:t>Ircinianin</w:t>
            </w:r>
            <w:proofErr w:type="spellEnd"/>
            <w:r w:rsidRPr="007F785A">
              <w:rPr>
                <w:i/>
                <w:lang w:val="en-ID"/>
              </w:rPr>
              <w:t xml:space="preserve">, SGLT-2, </w:t>
            </w:r>
            <w:r w:rsidR="0038409E" w:rsidRPr="0038409E">
              <w:rPr>
                <w:i/>
                <w:iCs/>
                <w:lang w:val="en-ID"/>
              </w:rPr>
              <w:t>molecular docking</w:t>
            </w:r>
          </w:p>
        </w:tc>
        <w:tc>
          <w:tcPr>
            <w:tcW w:w="250" w:type="dxa"/>
            <w:shd w:val="clear" w:color="auto" w:fill="auto"/>
          </w:tcPr>
          <w:p w14:paraId="3022DB73" w14:textId="77777777" w:rsidR="00A12DB7" w:rsidRDefault="00A12DB7">
            <w:pPr>
              <w:rPr>
                <w:sz w:val="22"/>
                <w:szCs w:val="22"/>
              </w:rPr>
            </w:pPr>
          </w:p>
        </w:tc>
        <w:tc>
          <w:tcPr>
            <w:tcW w:w="6656" w:type="dxa"/>
            <w:vMerge/>
            <w:shd w:val="clear" w:color="auto" w:fill="auto"/>
          </w:tcPr>
          <w:p w14:paraId="44499063" w14:textId="77777777" w:rsidR="00A12DB7" w:rsidRDefault="00A12DB7">
            <w:pPr>
              <w:widowControl w:val="0"/>
              <w:pBdr>
                <w:top w:val="nil"/>
                <w:left w:val="nil"/>
                <w:bottom w:val="nil"/>
                <w:right w:val="nil"/>
                <w:between w:val="nil"/>
              </w:pBdr>
              <w:spacing w:line="276" w:lineRule="auto"/>
              <w:rPr>
                <w:sz w:val="22"/>
                <w:szCs w:val="22"/>
              </w:rPr>
            </w:pPr>
          </w:p>
        </w:tc>
      </w:tr>
      <w:tr w:rsidR="00A12DB7" w14:paraId="2784A5C1" w14:textId="77777777" w:rsidTr="0055003B">
        <w:trPr>
          <w:trHeight w:val="215"/>
        </w:trPr>
        <w:tc>
          <w:tcPr>
            <w:tcW w:w="2025" w:type="dxa"/>
            <w:vMerge w:val="restart"/>
            <w:shd w:val="clear" w:color="auto" w:fill="auto"/>
          </w:tcPr>
          <w:p w14:paraId="6BCDC472" w14:textId="77777777" w:rsidR="00A12DB7" w:rsidRDefault="00A12DB7">
            <w:pPr>
              <w:ind w:left="-108"/>
              <w:jc w:val="both"/>
              <w:rPr>
                <w:b/>
                <w:i/>
              </w:rPr>
            </w:pPr>
          </w:p>
          <w:p w14:paraId="4FF64BF0" w14:textId="77777777" w:rsidR="00A12DB7" w:rsidRDefault="00A12DB7">
            <w:pPr>
              <w:ind w:left="-108"/>
              <w:jc w:val="both"/>
              <w:rPr>
                <w:b/>
                <w:i/>
              </w:rPr>
            </w:pPr>
          </w:p>
        </w:tc>
        <w:tc>
          <w:tcPr>
            <w:tcW w:w="250" w:type="dxa"/>
            <w:shd w:val="clear" w:color="auto" w:fill="auto"/>
          </w:tcPr>
          <w:p w14:paraId="36CC2036" w14:textId="77777777" w:rsidR="00A12DB7" w:rsidRDefault="00A12DB7">
            <w:pPr>
              <w:rPr>
                <w:sz w:val="22"/>
                <w:szCs w:val="22"/>
              </w:rPr>
            </w:pPr>
          </w:p>
        </w:tc>
        <w:tc>
          <w:tcPr>
            <w:tcW w:w="6656" w:type="dxa"/>
            <w:vMerge/>
            <w:shd w:val="clear" w:color="auto" w:fill="auto"/>
          </w:tcPr>
          <w:p w14:paraId="4FFC9248" w14:textId="77777777" w:rsidR="00A12DB7" w:rsidRDefault="00A12DB7">
            <w:pPr>
              <w:widowControl w:val="0"/>
              <w:pBdr>
                <w:top w:val="nil"/>
                <w:left w:val="nil"/>
                <w:bottom w:val="nil"/>
                <w:right w:val="nil"/>
                <w:between w:val="nil"/>
              </w:pBdr>
              <w:spacing w:line="276" w:lineRule="auto"/>
              <w:rPr>
                <w:sz w:val="22"/>
                <w:szCs w:val="22"/>
              </w:rPr>
            </w:pPr>
          </w:p>
        </w:tc>
      </w:tr>
      <w:tr w:rsidR="00A12DB7" w14:paraId="13EB6A4B" w14:textId="77777777" w:rsidTr="0055003B">
        <w:trPr>
          <w:trHeight w:val="60"/>
        </w:trPr>
        <w:tc>
          <w:tcPr>
            <w:tcW w:w="2025" w:type="dxa"/>
            <w:vMerge/>
            <w:shd w:val="clear" w:color="auto" w:fill="auto"/>
          </w:tcPr>
          <w:p w14:paraId="26D7AF89" w14:textId="77777777" w:rsidR="00A12DB7" w:rsidRDefault="00A12DB7">
            <w:pPr>
              <w:widowControl w:val="0"/>
              <w:pBdr>
                <w:top w:val="nil"/>
                <w:left w:val="nil"/>
                <w:bottom w:val="nil"/>
                <w:right w:val="nil"/>
                <w:between w:val="nil"/>
              </w:pBdr>
              <w:spacing w:line="276" w:lineRule="auto"/>
              <w:rPr>
                <w:sz w:val="22"/>
                <w:szCs w:val="22"/>
              </w:rPr>
            </w:pPr>
          </w:p>
        </w:tc>
        <w:tc>
          <w:tcPr>
            <w:tcW w:w="250" w:type="dxa"/>
            <w:shd w:val="clear" w:color="auto" w:fill="auto"/>
          </w:tcPr>
          <w:p w14:paraId="3B75ED1E" w14:textId="77777777" w:rsidR="00A12DB7" w:rsidRDefault="00A12DB7">
            <w:pPr>
              <w:rPr>
                <w:b/>
                <w:sz w:val="24"/>
                <w:szCs w:val="24"/>
              </w:rPr>
            </w:pPr>
          </w:p>
        </w:tc>
        <w:tc>
          <w:tcPr>
            <w:tcW w:w="6656" w:type="dxa"/>
            <w:shd w:val="clear" w:color="auto" w:fill="auto"/>
          </w:tcPr>
          <w:p w14:paraId="36166347" w14:textId="77777777" w:rsidR="00A12DB7" w:rsidRDefault="00000000">
            <w:pPr>
              <w:ind w:left="-104"/>
              <w:rPr>
                <w:b/>
                <w:i/>
                <w:sz w:val="22"/>
                <w:szCs w:val="22"/>
              </w:rPr>
            </w:pPr>
            <w:r>
              <w:rPr>
                <w:b/>
                <w:i/>
                <w:sz w:val="22"/>
                <w:szCs w:val="22"/>
              </w:rPr>
              <w:t>Abstract</w:t>
            </w:r>
          </w:p>
        </w:tc>
      </w:tr>
      <w:tr w:rsidR="00A12DB7" w14:paraId="438F76C0" w14:textId="77777777" w:rsidTr="0055003B">
        <w:tc>
          <w:tcPr>
            <w:tcW w:w="2025" w:type="dxa"/>
            <w:vMerge/>
            <w:shd w:val="clear" w:color="auto" w:fill="auto"/>
          </w:tcPr>
          <w:p w14:paraId="49598E5F" w14:textId="77777777" w:rsidR="00A12DB7" w:rsidRDefault="00A12DB7">
            <w:pPr>
              <w:widowControl w:val="0"/>
              <w:pBdr>
                <w:top w:val="nil"/>
                <w:left w:val="nil"/>
                <w:bottom w:val="nil"/>
                <w:right w:val="nil"/>
                <w:between w:val="nil"/>
              </w:pBdr>
              <w:spacing w:line="276" w:lineRule="auto"/>
              <w:rPr>
                <w:b/>
                <w:i/>
                <w:sz w:val="22"/>
                <w:szCs w:val="22"/>
              </w:rPr>
            </w:pPr>
          </w:p>
        </w:tc>
        <w:tc>
          <w:tcPr>
            <w:tcW w:w="250" w:type="dxa"/>
            <w:shd w:val="clear" w:color="auto" w:fill="auto"/>
          </w:tcPr>
          <w:p w14:paraId="0BB7A529" w14:textId="77777777" w:rsidR="00A12DB7" w:rsidRDefault="00A12DB7">
            <w:pPr>
              <w:rPr>
                <w:sz w:val="22"/>
                <w:szCs w:val="22"/>
              </w:rPr>
            </w:pPr>
          </w:p>
        </w:tc>
        <w:tc>
          <w:tcPr>
            <w:tcW w:w="6656" w:type="dxa"/>
            <w:vMerge w:val="restart"/>
            <w:shd w:val="clear" w:color="auto" w:fill="auto"/>
          </w:tcPr>
          <w:p w14:paraId="1F47D6C9" w14:textId="77777777" w:rsidR="0037489B" w:rsidRPr="0037489B" w:rsidRDefault="0037489B" w:rsidP="0037489B">
            <w:pPr>
              <w:ind w:left="-104" w:right="-108"/>
              <w:jc w:val="both"/>
              <w:rPr>
                <w:i/>
                <w:lang w:val="en-ID"/>
              </w:rPr>
            </w:pPr>
            <w:r w:rsidRPr="0037489B">
              <w:rPr>
                <w:b/>
                <w:bCs/>
                <w:i/>
                <w:lang w:val="en-ID"/>
              </w:rPr>
              <w:t>Background:</w:t>
            </w:r>
            <w:r w:rsidRPr="0037489B">
              <w:rPr>
                <w:i/>
                <w:lang w:val="en-ID"/>
              </w:rPr>
              <w:t xml:space="preserve"> Sodium-glucose cotransporter 2 (SGLT-2) is a potential target in the treatment of type 2 diabetes, with SGLT-2 inhibitors working to inhibit glucose reabsorption in the kidney. This study aims to evaluate the potential of </w:t>
            </w:r>
            <w:proofErr w:type="spellStart"/>
            <w:r w:rsidRPr="0037489B">
              <w:rPr>
                <w:i/>
                <w:lang w:val="en-ID"/>
              </w:rPr>
              <w:t>ircinianin</w:t>
            </w:r>
            <w:proofErr w:type="spellEnd"/>
            <w:r w:rsidRPr="0037489B">
              <w:rPr>
                <w:i/>
                <w:lang w:val="en-ID"/>
              </w:rPr>
              <w:t xml:space="preserve">, a natural compound isolated from the sponge </w:t>
            </w:r>
            <w:proofErr w:type="spellStart"/>
            <w:r w:rsidRPr="0037489B">
              <w:rPr>
                <w:i/>
                <w:lang w:val="en-ID"/>
              </w:rPr>
              <w:t>Ircinia</w:t>
            </w:r>
            <w:proofErr w:type="spellEnd"/>
            <w:r w:rsidRPr="0037489B">
              <w:rPr>
                <w:i/>
                <w:lang w:val="en-ID"/>
              </w:rPr>
              <w:t xml:space="preserve"> sp., as an SGLT-2 inhibitor using a </w:t>
            </w:r>
            <w:r w:rsidR="0038409E" w:rsidRPr="0038409E">
              <w:rPr>
                <w:i/>
                <w:iCs/>
                <w:lang w:val="en-ID"/>
              </w:rPr>
              <w:t>molecular docking</w:t>
            </w:r>
            <w:r w:rsidRPr="0037489B">
              <w:rPr>
                <w:i/>
                <w:lang w:val="en-ID"/>
              </w:rPr>
              <w:t xml:space="preserve"> approach. </w:t>
            </w:r>
            <w:r w:rsidRPr="0037489B">
              <w:rPr>
                <w:b/>
                <w:bCs/>
                <w:i/>
                <w:lang w:val="en-ID"/>
              </w:rPr>
              <w:t>Objectives:</w:t>
            </w:r>
            <w:r w:rsidRPr="0037489B">
              <w:rPr>
                <w:i/>
                <w:lang w:val="en-ID"/>
              </w:rPr>
              <w:t xml:space="preserve"> This study aims to </w:t>
            </w:r>
            <w:proofErr w:type="spellStart"/>
            <w:r w:rsidRPr="0037489B">
              <w:rPr>
                <w:i/>
                <w:lang w:val="en-ID"/>
              </w:rPr>
              <w:t>analyze</w:t>
            </w:r>
            <w:proofErr w:type="spellEnd"/>
            <w:r w:rsidRPr="0037489B">
              <w:rPr>
                <w:i/>
                <w:lang w:val="en-ID"/>
              </w:rPr>
              <w:t xml:space="preserve"> the interaction between </w:t>
            </w:r>
            <w:proofErr w:type="spellStart"/>
            <w:r w:rsidRPr="0037489B">
              <w:rPr>
                <w:i/>
                <w:lang w:val="en-ID"/>
              </w:rPr>
              <w:t>ircinianin</w:t>
            </w:r>
            <w:proofErr w:type="spellEnd"/>
            <w:r w:rsidRPr="0037489B">
              <w:rPr>
                <w:i/>
                <w:lang w:val="en-ID"/>
              </w:rPr>
              <w:t xml:space="preserve"> and SGLT-2 protein and evaluate the inhibitory potential of </w:t>
            </w:r>
            <w:proofErr w:type="spellStart"/>
            <w:r w:rsidRPr="0037489B">
              <w:rPr>
                <w:i/>
                <w:lang w:val="en-ID"/>
              </w:rPr>
              <w:t>ircinianin</w:t>
            </w:r>
            <w:proofErr w:type="spellEnd"/>
            <w:r w:rsidRPr="0037489B">
              <w:rPr>
                <w:i/>
                <w:lang w:val="en-ID"/>
              </w:rPr>
              <w:t xml:space="preserve"> against SGLT-2 receptor. </w:t>
            </w:r>
            <w:r w:rsidRPr="0037489B">
              <w:rPr>
                <w:b/>
                <w:bCs/>
                <w:i/>
                <w:lang w:val="en-ID"/>
              </w:rPr>
              <w:t>Methods:</w:t>
            </w:r>
            <w:r w:rsidRPr="0037489B">
              <w:rPr>
                <w:i/>
                <w:lang w:val="en-ID"/>
              </w:rPr>
              <w:t xml:space="preserve"> The method used was </w:t>
            </w:r>
            <w:r w:rsidR="0038409E" w:rsidRPr="0038409E">
              <w:rPr>
                <w:i/>
                <w:iCs/>
                <w:lang w:val="en-ID"/>
              </w:rPr>
              <w:t>molecular docking</w:t>
            </w:r>
            <w:r w:rsidRPr="0037489B">
              <w:rPr>
                <w:i/>
                <w:lang w:val="en-ID"/>
              </w:rPr>
              <w:t xml:space="preserve"> with AutoDock4 software. The procedure was performed by docking the ligand on the SGLT-2 active site. The ligand was docked with 100 iterations to obtain the optimal binding conformation. Interactions were </w:t>
            </w:r>
            <w:proofErr w:type="spellStart"/>
            <w:r w:rsidRPr="0037489B">
              <w:rPr>
                <w:i/>
                <w:lang w:val="en-ID"/>
              </w:rPr>
              <w:t>analyzed</w:t>
            </w:r>
            <w:proofErr w:type="spellEnd"/>
            <w:r w:rsidRPr="0037489B">
              <w:rPr>
                <w:i/>
                <w:lang w:val="en-ID"/>
              </w:rPr>
              <w:t xml:space="preserve"> based on binding energy and visualization was performed using Discovery Studio. </w:t>
            </w:r>
            <w:r w:rsidRPr="0037489B">
              <w:rPr>
                <w:b/>
                <w:bCs/>
                <w:i/>
                <w:lang w:val="en-ID"/>
              </w:rPr>
              <w:t>Results:</w:t>
            </w:r>
            <w:r w:rsidRPr="0037489B">
              <w:rPr>
                <w:i/>
                <w:lang w:val="en-ID"/>
              </w:rPr>
              <w:t xml:space="preserve"> </w:t>
            </w:r>
            <w:proofErr w:type="spellStart"/>
            <w:r w:rsidRPr="0037489B">
              <w:rPr>
                <w:i/>
                <w:lang w:val="en-ID"/>
              </w:rPr>
              <w:t>Ircinianin</w:t>
            </w:r>
            <w:proofErr w:type="spellEnd"/>
            <w:r w:rsidRPr="0037489B">
              <w:rPr>
                <w:i/>
                <w:lang w:val="en-ID"/>
              </w:rPr>
              <w:t xml:space="preserve"> showed a binding energy of -10.76 kcal/mol, slightly higher than the native ligand (-11.46 kcal/mol). </w:t>
            </w:r>
            <w:proofErr w:type="spellStart"/>
            <w:r w:rsidRPr="0037489B">
              <w:rPr>
                <w:i/>
                <w:lang w:val="en-ID"/>
              </w:rPr>
              <w:t>Ircinianin</w:t>
            </w:r>
            <w:proofErr w:type="spellEnd"/>
            <w:r w:rsidRPr="0037489B">
              <w:rPr>
                <w:i/>
                <w:lang w:val="en-ID"/>
              </w:rPr>
              <w:t xml:space="preserve"> formed two hydrogen bonds with residues PHE:98 and TRP:291. </w:t>
            </w:r>
            <w:r w:rsidRPr="0037489B">
              <w:rPr>
                <w:b/>
                <w:bCs/>
                <w:i/>
                <w:lang w:val="en-ID"/>
              </w:rPr>
              <w:t>Conclusions and Suggestions:</w:t>
            </w:r>
            <w:r w:rsidRPr="0037489B">
              <w:rPr>
                <w:i/>
                <w:lang w:val="en-ID"/>
              </w:rPr>
              <w:t xml:space="preserve"> </w:t>
            </w:r>
            <w:proofErr w:type="spellStart"/>
            <w:r w:rsidRPr="0037489B">
              <w:rPr>
                <w:i/>
                <w:lang w:val="en-ID"/>
              </w:rPr>
              <w:t>Ircinianin</w:t>
            </w:r>
            <w:proofErr w:type="spellEnd"/>
            <w:r w:rsidRPr="0037489B">
              <w:rPr>
                <w:i/>
                <w:lang w:val="en-ID"/>
              </w:rPr>
              <w:t xml:space="preserve"> has potential as an SGLT-2 inhibitor, although it has fewer hydrogen bonds than the native ligand. Further research is needed to explore the therapeutic potential of </w:t>
            </w:r>
            <w:proofErr w:type="spellStart"/>
            <w:r w:rsidRPr="0037489B">
              <w:rPr>
                <w:i/>
                <w:lang w:val="en-ID"/>
              </w:rPr>
              <w:t>ircinianin</w:t>
            </w:r>
            <w:proofErr w:type="spellEnd"/>
            <w:r w:rsidRPr="0037489B">
              <w:rPr>
                <w:i/>
                <w:lang w:val="en-ID"/>
              </w:rPr>
              <w:t xml:space="preserve"> in the treatment of type 2 diabetes.</w:t>
            </w:r>
          </w:p>
          <w:p w14:paraId="18F9D5E5" w14:textId="77777777" w:rsidR="00A12DB7" w:rsidRDefault="00A12DB7" w:rsidP="00256F0D">
            <w:pPr>
              <w:ind w:right="-108"/>
              <w:jc w:val="both"/>
              <w:rPr>
                <w:i/>
              </w:rPr>
            </w:pPr>
          </w:p>
        </w:tc>
      </w:tr>
      <w:tr w:rsidR="00A12DB7" w14:paraId="7470CC4D" w14:textId="77777777" w:rsidTr="0055003B">
        <w:tc>
          <w:tcPr>
            <w:tcW w:w="2025" w:type="dxa"/>
            <w:vMerge/>
            <w:shd w:val="clear" w:color="auto" w:fill="auto"/>
          </w:tcPr>
          <w:p w14:paraId="71CB854E" w14:textId="77777777" w:rsidR="00A12DB7" w:rsidRDefault="00A12DB7">
            <w:pPr>
              <w:widowControl w:val="0"/>
              <w:pBdr>
                <w:top w:val="nil"/>
                <w:left w:val="nil"/>
                <w:bottom w:val="nil"/>
                <w:right w:val="nil"/>
                <w:between w:val="nil"/>
              </w:pBdr>
              <w:spacing w:line="276" w:lineRule="auto"/>
              <w:rPr>
                <w:i/>
              </w:rPr>
            </w:pPr>
          </w:p>
        </w:tc>
        <w:tc>
          <w:tcPr>
            <w:tcW w:w="250" w:type="dxa"/>
            <w:shd w:val="clear" w:color="auto" w:fill="auto"/>
          </w:tcPr>
          <w:p w14:paraId="27C5EE35" w14:textId="77777777" w:rsidR="00A12DB7" w:rsidRDefault="00A12DB7">
            <w:pPr>
              <w:rPr>
                <w:sz w:val="22"/>
                <w:szCs w:val="22"/>
              </w:rPr>
            </w:pPr>
          </w:p>
        </w:tc>
        <w:tc>
          <w:tcPr>
            <w:tcW w:w="6656" w:type="dxa"/>
            <w:vMerge/>
            <w:shd w:val="clear" w:color="auto" w:fill="auto"/>
          </w:tcPr>
          <w:p w14:paraId="6F503E3E" w14:textId="77777777" w:rsidR="00A12DB7" w:rsidRDefault="00A12DB7">
            <w:pPr>
              <w:widowControl w:val="0"/>
              <w:pBdr>
                <w:top w:val="nil"/>
                <w:left w:val="nil"/>
                <w:bottom w:val="nil"/>
                <w:right w:val="nil"/>
                <w:between w:val="nil"/>
              </w:pBdr>
              <w:spacing w:line="276" w:lineRule="auto"/>
              <w:rPr>
                <w:sz w:val="22"/>
                <w:szCs w:val="22"/>
              </w:rPr>
            </w:pPr>
          </w:p>
        </w:tc>
      </w:tr>
      <w:tr w:rsidR="00A12DB7" w14:paraId="5FDE53D1" w14:textId="77777777" w:rsidTr="0055003B">
        <w:tc>
          <w:tcPr>
            <w:tcW w:w="2025" w:type="dxa"/>
            <w:shd w:val="clear" w:color="auto" w:fill="auto"/>
          </w:tcPr>
          <w:p w14:paraId="265AA8E0" w14:textId="77777777" w:rsidR="00A12DB7" w:rsidRDefault="00A12DB7">
            <w:pPr>
              <w:rPr>
                <w:sz w:val="22"/>
                <w:szCs w:val="22"/>
              </w:rPr>
            </w:pPr>
          </w:p>
        </w:tc>
        <w:tc>
          <w:tcPr>
            <w:tcW w:w="250" w:type="dxa"/>
            <w:shd w:val="clear" w:color="auto" w:fill="auto"/>
          </w:tcPr>
          <w:p w14:paraId="7F0D596F" w14:textId="77777777" w:rsidR="00A12DB7" w:rsidRDefault="00A12DB7">
            <w:pPr>
              <w:rPr>
                <w:sz w:val="22"/>
                <w:szCs w:val="22"/>
              </w:rPr>
            </w:pPr>
          </w:p>
        </w:tc>
        <w:tc>
          <w:tcPr>
            <w:tcW w:w="6656" w:type="dxa"/>
            <w:vMerge/>
            <w:shd w:val="clear" w:color="auto" w:fill="auto"/>
          </w:tcPr>
          <w:p w14:paraId="3E2D0324" w14:textId="77777777" w:rsidR="00A12DB7" w:rsidRDefault="00A12DB7">
            <w:pPr>
              <w:widowControl w:val="0"/>
              <w:pBdr>
                <w:top w:val="nil"/>
                <w:left w:val="nil"/>
                <w:bottom w:val="nil"/>
                <w:right w:val="nil"/>
                <w:between w:val="nil"/>
              </w:pBdr>
              <w:spacing w:line="276" w:lineRule="auto"/>
              <w:rPr>
                <w:sz w:val="22"/>
                <w:szCs w:val="22"/>
              </w:rPr>
            </w:pPr>
          </w:p>
        </w:tc>
      </w:tr>
      <w:tr w:rsidR="00A12DB7" w14:paraId="5AB55217" w14:textId="77777777" w:rsidTr="0055003B">
        <w:tc>
          <w:tcPr>
            <w:tcW w:w="2025" w:type="dxa"/>
            <w:shd w:val="clear" w:color="auto" w:fill="auto"/>
          </w:tcPr>
          <w:p w14:paraId="6F426DA9" w14:textId="77777777" w:rsidR="00A12DB7" w:rsidRDefault="00A12DB7">
            <w:pPr>
              <w:rPr>
                <w:sz w:val="22"/>
                <w:szCs w:val="22"/>
              </w:rPr>
            </w:pPr>
          </w:p>
        </w:tc>
        <w:tc>
          <w:tcPr>
            <w:tcW w:w="250" w:type="dxa"/>
            <w:shd w:val="clear" w:color="auto" w:fill="auto"/>
          </w:tcPr>
          <w:p w14:paraId="6275EC72" w14:textId="77777777" w:rsidR="00A12DB7" w:rsidRDefault="00A12DB7">
            <w:pPr>
              <w:rPr>
                <w:sz w:val="22"/>
                <w:szCs w:val="22"/>
              </w:rPr>
            </w:pPr>
          </w:p>
        </w:tc>
        <w:tc>
          <w:tcPr>
            <w:tcW w:w="6656" w:type="dxa"/>
            <w:vMerge/>
            <w:shd w:val="clear" w:color="auto" w:fill="auto"/>
          </w:tcPr>
          <w:p w14:paraId="60FCBB96" w14:textId="77777777" w:rsidR="00A12DB7" w:rsidRDefault="00A12DB7">
            <w:pPr>
              <w:widowControl w:val="0"/>
              <w:pBdr>
                <w:top w:val="nil"/>
                <w:left w:val="nil"/>
                <w:bottom w:val="nil"/>
                <w:right w:val="nil"/>
                <w:between w:val="nil"/>
              </w:pBdr>
              <w:spacing w:line="276" w:lineRule="auto"/>
              <w:rPr>
                <w:sz w:val="22"/>
                <w:szCs w:val="22"/>
              </w:rPr>
            </w:pPr>
          </w:p>
        </w:tc>
      </w:tr>
      <w:tr w:rsidR="00A12DB7" w14:paraId="4352F587" w14:textId="77777777" w:rsidTr="0055003B">
        <w:tc>
          <w:tcPr>
            <w:tcW w:w="2025" w:type="dxa"/>
            <w:shd w:val="clear" w:color="auto" w:fill="auto"/>
          </w:tcPr>
          <w:p w14:paraId="791B2C12" w14:textId="77777777" w:rsidR="00A12DB7" w:rsidRDefault="00A12DB7">
            <w:pPr>
              <w:rPr>
                <w:sz w:val="22"/>
                <w:szCs w:val="22"/>
              </w:rPr>
            </w:pPr>
          </w:p>
        </w:tc>
        <w:tc>
          <w:tcPr>
            <w:tcW w:w="250" w:type="dxa"/>
            <w:shd w:val="clear" w:color="auto" w:fill="auto"/>
          </w:tcPr>
          <w:p w14:paraId="2276A813" w14:textId="77777777" w:rsidR="00A12DB7" w:rsidRDefault="00A12DB7">
            <w:pPr>
              <w:rPr>
                <w:sz w:val="22"/>
                <w:szCs w:val="22"/>
              </w:rPr>
            </w:pPr>
          </w:p>
        </w:tc>
        <w:tc>
          <w:tcPr>
            <w:tcW w:w="6656" w:type="dxa"/>
            <w:vMerge/>
            <w:shd w:val="clear" w:color="auto" w:fill="auto"/>
          </w:tcPr>
          <w:p w14:paraId="3D1AAC5B" w14:textId="77777777" w:rsidR="00A12DB7" w:rsidRDefault="00A12DB7">
            <w:pPr>
              <w:widowControl w:val="0"/>
              <w:pBdr>
                <w:top w:val="nil"/>
                <w:left w:val="nil"/>
                <w:bottom w:val="nil"/>
                <w:right w:val="nil"/>
                <w:between w:val="nil"/>
              </w:pBdr>
              <w:spacing w:line="276" w:lineRule="auto"/>
              <w:rPr>
                <w:sz w:val="22"/>
                <w:szCs w:val="22"/>
              </w:rPr>
            </w:pPr>
          </w:p>
        </w:tc>
      </w:tr>
      <w:tr w:rsidR="00A12DB7" w14:paraId="6EB030DD" w14:textId="77777777" w:rsidTr="0055003B">
        <w:tc>
          <w:tcPr>
            <w:tcW w:w="2025" w:type="dxa"/>
            <w:shd w:val="clear" w:color="auto" w:fill="auto"/>
          </w:tcPr>
          <w:p w14:paraId="60A2070B" w14:textId="77777777" w:rsidR="00A12DB7" w:rsidRDefault="00A12DB7">
            <w:pPr>
              <w:rPr>
                <w:sz w:val="22"/>
                <w:szCs w:val="22"/>
              </w:rPr>
            </w:pPr>
          </w:p>
        </w:tc>
        <w:tc>
          <w:tcPr>
            <w:tcW w:w="250" w:type="dxa"/>
            <w:shd w:val="clear" w:color="auto" w:fill="auto"/>
          </w:tcPr>
          <w:p w14:paraId="42F52A61" w14:textId="77777777" w:rsidR="00A12DB7" w:rsidRDefault="00A12DB7">
            <w:pPr>
              <w:rPr>
                <w:sz w:val="22"/>
                <w:szCs w:val="22"/>
              </w:rPr>
            </w:pPr>
          </w:p>
        </w:tc>
        <w:tc>
          <w:tcPr>
            <w:tcW w:w="6656" w:type="dxa"/>
            <w:vMerge/>
            <w:shd w:val="clear" w:color="auto" w:fill="auto"/>
          </w:tcPr>
          <w:p w14:paraId="5267AEF8" w14:textId="77777777" w:rsidR="00A12DB7" w:rsidRDefault="00A12DB7">
            <w:pPr>
              <w:widowControl w:val="0"/>
              <w:pBdr>
                <w:top w:val="nil"/>
                <w:left w:val="nil"/>
                <w:bottom w:val="nil"/>
                <w:right w:val="nil"/>
                <w:between w:val="nil"/>
              </w:pBdr>
              <w:spacing w:line="276" w:lineRule="auto"/>
              <w:rPr>
                <w:sz w:val="22"/>
                <w:szCs w:val="22"/>
              </w:rPr>
            </w:pPr>
          </w:p>
        </w:tc>
      </w:tr>
      <w:tr w:rsidR="00A12DB7" w14:paraId="4F2641EE" w14:textId="77777777" w:rsidTr="0055003B">
        <w:tc>
          <w:tcPr>
            <w:tcW w:w="2025" w:type="dxa"/>
            <w:shd w:val="clear" w:color="auto" w:fill="auto"/>
          </w:tcPr>
          <w:p w14:paraId="784F8724" w14:textId="77777777" w:rsidR="00A12DB7" w:rsidRDefault="00A12DB7">
            <w:pPr>
              <w:ind w:left="-108"/>
              <w:jc w:val="both"/>
              <w:rPr>
                <w:b/>
                <w:i/>
              </w:rPr>
            </w:pPr>
          </w:p>
        </w:tc>
        <w:tc>
          <w:tcPr>
            <w:tcW w:w="250" w:type="dxa"/>
            <w:shd w:val="clear" w:color="auto" w:fill="auto"/>
          </w:tcPr>
          <w:p w14:paraId="1E006FD5" w14:textId="77777777" w:rsidR="00A12DB7" w:rsidRDefault="00A12DB7">
            <w:pPr>
              <w:rPr>
                <w:sz w:val="22"/>
                <w:szCs w:val="22"/>
              </w:rPr>
            </w:pPr>
          </w:p>
        </w:tc>
        <w:tc>
          <w:tcPr>
            <w:tcW w:w="6656" w:type="dxa"/>
            <w:vMerge/>
            <w:shd w:val="clear" w:color="auto" w:fill="auto"/>
          </w:tcPr>
          <w:p w14:paraId="11CF0CAF" w14:textId="77777777" w:rsidR="00A12DB7" w:rsidRDefault="00A12DB7">
            <w:pPr>
              <w:widowControl w:val="0"/>
              <w:pBdr>
                <w:top w:val="nil"/>
                <w:left w:val="nil"/>
                <w:bottom w:val="nil"/>
                <w:right w:val="nil"/>
                <w:between w:val="nil"/>
              </w:pBdr>
              <w:spacing w:line="276" w:lineRule="auto"/>
              <w:rPr>
                <w:sz w:val="22"/>
                <w:szCs w:val="22"/>
              </w:rPr>
            </w:pPr>
          </w:p>
        </w:tc>
      </w:tr>
    </w:tbl>
    <w:p w14:paraId="0B4A5AAC" w14:textId="77777777" w:rsidR="00A12DB7" w:rsidRDefault="00000000">
      <w:pPr>
        <w:spacing w:line="288" w:lineRule="auto"/>
        <w:jc w:val="both"/>
        <w:rPr>
          <w:b/>
          <w:sz w:val="22"/>
          <w:szCs w:val="22"/>
        </w:rPr>
      </w:pPr>
      <w:r>
        <w:rPr>
          <w:b/>
          <w:sz w:val="22"/>
          <w:szCs w:val="22"/>
        </w:rPr>
        <w:t>PENDAHULUAN</w:t>
      </w:r>
    </w:p>
    <w:p w14:paraId="3E8524D8" w14:textId="77777777" w:rsidR="00B21BAF" w:rsidRPr="00B21BAF" w:rsidRDefault="00B21BAF" w:rsidP="00B21BAF">
      <w:pPr>
        <w:spacing w:line="360" w:lineRule="auto"/>
        <w:ind w:firstLine="284"/>
        <w:jc w:val="both"/>
        <w:rPr>
          <w:sz w:val="22"/>
          <w:szCs w:val="22"/>
        </w:rPr>
      </w:pPr>
      <w:r w:rsidRPr="00B21BAF">
        <w:rPr>
          <w:sz w:val="22"/>
          <w:szCs w:val="22"/>
        </w:rPr>
        <w:t xml:space="preserve">Diabetes mellitus, </w:t>
      </w:r>
      <w:proofErr w:type="spellStart"/>
      <w:r w:rsidRPr="00B21BAF">
        <w:rPr>
          <w:sz w:val="22"/>
          <w:szCs w:val="22"/>
        </w:rPr>
        <w:t>khususnya</w:t>
      </w:r>
      <w:proofErr w:type="spellEnd"/>
      <w:r w:rsidRPr="00B21BAF">
        <w:rPr>
          <w:sz w:val="22"/>
          <w:szCs w:val="22"/>
        </w:rPr>
        <w:t xml:space="preserve"> </w:t>
      </w:r>
      <w:proofErr w:type="spellStart"/>
      <w:r w:rsidRPr="00B21BAF">
        <w:rPr>
          <w:sz w:val="22"/>
          <w:szCs w:val="22"/>
        </w:rPr>
        <w:t>tipe</w:t>
      </w:r>
      <w:proofErr w:type="spellEnd"/>
      <w:r w:rsidRPr="00B21BAF">
        <w:rPr>
          <w:sz w:val="22"/>
          <w:szCs w:val="22"/>
        </w:rPr>
        <w:t xml:space="preserve"> 2, </w:t>
      </w:r>
      <w:proofErr w:type="spellStart"/>
      <w:r w:rsidRPr="00B21BAF">
        <w:rPr>
          <w:sz w:val="22"/>
          <w:szCs w:val="22"/>
        </w:rPr>
        <w:t>merupakan</w:t>
      </w:r>
      <w:proofErr w:type="spellEnd"/>
      <w:r w:rsidRPr="00B21BAF">
        <w:rPr>
          <w:sz w:val="22"/>
          <w:szCs w:val="22"/>
        </w:rPr>
        <w:t xml:space="preserve"> salah </w:t>
      </w:r>
      <w:proofErr w:type="spellStart"/>
      <w:r w:rsidRPr="00B21BAF">
        <w:rPr>
          <w:sz w:val="22"/>
          <w:szCs w:val="22"/>
        </w:rPr>
        <w:t>satu</w:t>
      </w:r>
      <w:proofErr w:type="spellEnd"/>
      <w:r w:rsidRPr="00B21BAF">
        <w:rPr>
          <w:sz w:val="22"/>
          <w:szCs w:val="22"/>
        </w:rPr>
        <w:t xml:space="preserve"> </w:t>
      </w:r>
      <w:proofErr w:type="spellStart"/>
      <w:r w:rsidRPr="00B21BAF">
        <w:rPr>
          <w:sz w:val="22"/>
          <w:szCs w:val="22"/>
        </w:rPr>
        <w:t>penyakit</w:t>
      </w:r>
      <w:proofErr w:type="spellEnd"/>
      <w:r w:rsidRPr="00B21BAF">
        <w:rPr>
          <w:sz w:val="22"/>
          <w:szCs w:val="22"/>
        </w:rPr>
        <w:t xml:space="preserve"> </w:t>
      </w:r>
      <w:proofErr w:type="spellStart"/>
      <w:r w:rsidRPr="00B21BAF">
        <w:rPr>
          <w:sz w:val="22"/>
          <w:szCs w:val="22"/>
        </w:rPr>
        <w:t>metabolik</w:t>
      </w:r>
      <w:proofErr w:type="spellEnd"/>
      <w:r w:rsidRPr="00B21BAF">
        <w:rPr>
          <w:sz w:val="22"/>
          <w:szCs w:val="22"/>
        </w:rPr>
        <w:t xml:space="preserve"> yang </w:t>
      </w:r>
      <w:proofErr w:type="spellStart"/>
      <w:r w:rsidRPr="00B21BAF">
        <w:rPr>
          <w:sz w:val="22"/>
          <w:szCs w:val="22"/>
        </w:rPr>
        <w:t>semakin</w:t>
      </w:r>
      <w:proofErr w:type="spellEnd"/>
      <w:r w:rsidRPr="00B21BAF">
        <w:rPr>
          <w:sz w:val="22"/>
          <w:szCs w:val="22"/>
        </w:rPr>
        <w:t xml:space="preserve"> </w:t>
      </w:r>
      <w:proofErr w:type="spellStart"/>
      <w:r w:rsidRPr="00B21BAF">
        <w:rPr>
          <w:sz w:val="22"/>
          <w:szCs w:val="22"/>
        </w:rPr>
        <w:t>meningkat</w:t>
      </w:r>
      <w:proofErr w:type="spellEnd"/>
      <w:r w:rsidRPr="00B21BAF">
        <w:rPr>
          <w:sz w:val="22"/>
          <w:szCs w:val="22"/>
        </w:rPr>
        <w:t xml:space="preserve"> </w:t>
      </w:r>
      <w:proofErr w:type="spellStart"/>
      <w:r w:rsidRPr="00B21BAF">
        <w:rPr>
          <w:sz w:val="22"/>
          <w:szCs w:val="22"/>
        </w:rPr>
        <w:t>prevalensinya</w:t>
      </w:r>
      <w:proofErr w:type="spellEnd"/>
      <w:r w:rsidRPr="00B21BAF">
        <w:rPr>
          <w:sz w:val="22"/>
          <w:szCs w:val="22"/>
        </w:rPr>
        <w:t xml:space="preserve"> di </w:t>
      </w:r>
      <w:proofErr w:type="spellStart"/>
      <w:r w:rsidRPr="00B21BAF">
        <w:rPr>
          <w:sz w:val="22"/>
          <w:szCs w:val="22"/>
        </w:rPr>
        <w:t>seluruh</w:t>
      </w:r>
      <w:proofErr w:type="spellEnd"/>
      <w:r w:rsidRPr="00B21BAF">
        <w:rPr>
          <w:sz w:val="22"/>
          <w:szCs w:val="22"/>
        </w:rPr>
        <w:t xml:space="preserve"> dunia</w:t>
      </w:r>
      <w:r w:rsidR="00185360">
        <w:rPr>
          <w:sz w:val="22"/>
          <w:szCs w:val="22"/>
        </w:rPr>
        <w:t xml:space="preserve"> </w:t>
      </w:r>
      <w:r w:rsidR="00185360">
        <w:rPr>
          <w:sz w:val="22"/>
          <w:szCs w:val="22"/>
        </w:rPr>
        <w:fldChar w:fldCharType="begin" w:fldLock="1"/>
      </w:r>
      <w:r w:rsidR="00185360">
        <w:rPr>
          <w:sz w:val="22"/>
          <w:szCs w:val="22"/>
        </w:rPr>
        <w:instrText>ADDIN CSL_CITATION {"citationItems":[{"id":"ITEM-1","itemData":{"DOI":"10.7748/ns.2021.e11709","ISSN":"2047-9018 (Electronic)","PMID":"34708622","abstract":"The incidence of diabetes mellitus is rapidly increasing, and this condition  often results in significant metabolic disease and severe complications. Nurses have a crucial role in monitoring, educating and supporting people with diabetes, as well as their families and significant others. This article provides an overview of the main types and common symptoms of diabetes, its acute and long-term complications and its management. It also outlines the nurse's role in diabetes care, which frequently includes assessing and empowering patients.","author":[{"dropping-particle":"","family":"Cloete","given":"Linda","non-dropping-particle":"","parse-names":false,"suffix":""}],"container-title":"Nursing standard (Royal College of Nursing (Great Britain) : 1987)","id":"ITEM-1","issue":"1","issued":{"date-parts":[["2022","1"]]},"language":"eng","page":"61-66","publisher-place":"England","title":"Diabetes mellitus: an overview of the types, symptoms, complications and  management.","type":"article-journal","volume":"37"},"uris":["http://www.mendeley.com/documents/?uuid=fc13fd63-3a84-4041-a5c1-29b4cdcb71e5"]},{"id":"ITEM-2","itemData":{"DOI":"10.1016/j.scitotenv.2024.175694","ISSN":"1879-1026 (Electronic)","PMID":"39173765","abstract":"There is no evidence on the associations between persistent organic pollutants  (POPs) and the incidence of chronic kidney disease (CKD) in the Chinese rural population. We aimed to investigate the individual and mixed effects of 22 POPs on the prevalence and incidence of CKD, and the joint effects of POPs and abnormal glucose metabolism as well as the modification effects of healthy lifestyle on these associations. A total of 2775 subjects, including 925 subjects with normal plasma glucose (NPG) and 925 subjects with prediabetes (PDM) and type 2 diabetes mellitus (T2DM), were enrolled from the Henan Rural Cohort Study. Logistic regression and quantile g-computation were performed to assess the individual and mixed effects of POPs on the risk of CKD. Joint effects of POPs and abnormal glucose metabolism status, as well as the modification effects of lifestyle on CKD were assessed. After 3-year follow-up, an increment of ln-o,p'-DDT was related to an elevated risk of CKD prevalence. Positive associations of p,p'-DDE and β-BHC with CKD incidence were observed (P &lt; 0.05). In addition, participants with high levels of ∑POPs were associated elevated incidence risk of CKD (OR: 1.217, 95%CI: 1.008-1.469). One quartile increase in POPs mixture was associated with the increased incidence of CKD among T2DM patients (P &lt; 0.05). Further, a higher risk of CKD was observed among PDM and T2DM patients with high levels of o,p'-DDT, p,p'-DDE, β-BHC, and ∑POPs than NPG subjects with low levels of pollutants. In addition, interactive effects of ∑POPs and lifestyle score on CKD incidence were found. Individual and mixed exposure to POPs increased the prevalence and incidence of CKD, and glucose metabolic status exacerbated the risk of CKD resulting from such exposures. Further, the modifying effects of lifestyle were observed, highlighting the importance of precision prevention for high-risk CKD population and healthy lifestyle intervention measures.","author":[{"dropping-particle":"","family":"Wei","given":"Dandan","non-dropping-particle":"","parse-names":false,"suffix":""},{"dropping-particle":"","family":"Shi","given":"Jiayu","non-dropping-particle":"","parse-names":false,"suffix":""},{"dropping-particle":"","family":"Xu","given":"Haoran","non-dropping-particle":"","parse-names":false,"suffix":""},{"dropping-particle":"","family":"Guo","given":"Yao","non-dropping-particle":"","parse-names":false,"suffix":""},{"dropping-particle":"","family":"Wu","given":"Xueyan","non-dropping-particle":"","parse-names":false,"suffix":""},{"dropping-particle":"","family":"Chen","given":"Zhiwei","non-dropping-particle":"","parse-names":false,"suffix":""},{"dropping-particle":"","family":"Chen","given":"Taimeng","non-dropping-particle":"","parse-names":false,"suffix":""},{"dropping-particle":"","family":"Lou","given":"Huilin","non-dropping-particle":"","parse-names":false,"suffix":""},{"dropping-particle":"","family":"Han","given":"Erbao","non-dropping-particle":"","parse-names":false,"suffix":""},{"dropping-particle":"","family":"Han","given":"Guozhen","non-dropping-particle":"","parse-names":false,"suffix":""},{"dropping-particle":"","family":"Yan","given":"Yumeng","non-dropping-particle":"","parse-names":false,"suffix":""},{"dropping-particle":"","family":"Liu","given":"Xiaotian","non-dropping-particle":"","parse-names":false,"suffix":""},{"dropping-particle":"","family":"Zeng","given":"Xin","non-dropping-particle":"","parse-names":false,"suffix":""},{"dropping-particle":"","family":"Fan","given":"Caini","non-dropping-particle":"","parse-names":false,"suffix":""},{"dropping-particle":"","family":"Hou","given":"Jian","non-dropping-particle":"","parse-names":false,"suffix":""},{"dropping-particle":"","family":"Huo","given":"Wenqian","non-dropping-particle":"","parse-names":false,"suffix":""},{"dropping-particle":"","family":"Li","given":"Linlin","non-dropping-particle":"","parse-names":false,"suffix":""},{"dropping-particle":"","family":"Jing","given":"Tao","non-dropping-particle":"","parse-names":false,"suffix":""},{"dropping-particle":"","family":"Wang","given":"Chongjian","non-dropping-particle":"","parse-names":false,"suffix":""},{"dropping-particle":"","family":"Mao","given":"Zhenxing","non-dropping-particle":"","parse-names":false,"suffix":""}],"container-title":"The Science of the total environment","id":"ITEM-2","issued":{"date-parts":[["2024","11"]]},"language":"eng","page":"175694","publisher-place":"Netherlands","title":"Prospective study on the joint effect of persistent organic pollutants and  glucose metabolism on chronic kidney disease: Modifying effects of lifestyle interventions.","type":"article-journal","volume":"951"},"uris":["http://www.mendeley.com/documents/?uuid=82f07b1e-b735-4d43-b729-3459a4e66b46"]}],"mendeley":{"formattedCitation":"(Cloete, 2022; Wei et al., 2024)","plainTextFormattedCitation":"(Cloete, 2022; Wei et al., 2024)","previouslyFormattedCitation":"(Cloete, 2022; Wei et al., 2024)"},"properties":{"noteIndex":0},"schema":"https://github.com/citation-style-language/schema/raw/master/csl-citation.json"}</w:instrText>
      </w:r>
      <w:r w:rsidR="00185360">
        <w:rPr>
          <w:sz w:val="22"/>
          <w:szCs w:val="22"/>
        </w:rPr>
        <w:fldChar w:fldCharType="separate"/>
      </w:r>
      <w:r w:rsidR="00185360" w:rsidRPr="00185360">
        <w:rPr>
          <w:noProof/>
          <w:sz w:val="22"/>
          <w:szCs w:val="22"/>
        </w:rPr>
        <w:t>(Cloete, 2022; Wei et al., 2024)</w:t>
      </w:r>
      <w:r w:rsidR="00185360">
        <w:rPr>
          <w:sz w:val="22"/>
          <w:szCs w:val="22"/>
        </w:rPr>
        <w:fldChar w:fldCharType="end"/>
      </w:r>
      <w:r w:rsidRPr="00B21BAF">
        <w:rPr>
          <w:sz w:val="22"/>
          <w:szCs w:val="22"/>
        </w:rPr>
        <w:t xml:space="preserve">. Salah </w:t>
      </w:r>
      <w:proofErr w:type="spellStart"/>
      <w:r w:rsidRPr="00B21BAF">
        <w:rPr>
          <w:sz w:val="22"/>
          <w:szCs w:val="22"/>
        </w:rPr>
        <w:t>satu</w:t>
      </w:r>
      <w:proofErr w:type="spellEnd"/>
      <w:r w:rsidRPr="00B21BAF">
        <w:rPr>
          <w:sz w:val="22"/>
          <w:szCs w:val="22"/>
        </w:rPr>
        <w:t xml:space="preserve"> </w:t>
      </w:r>
      <w:proofErr w:type="spellStart"/>
      <w:r w:rsidRPr="00B21BAF">
        <w:rPr>
          <w:sz w:val="22"/>
          <w:szCs w:val="22"/>
        </w:rPr>
        <w:t>pendekatan</w:t>
      </w:r>
      <w:proofErr w:type="spellEnd"/>
      <w:r w:rsidRPr="00B21BAF">
        <w:rPr>
          <w:sz w:val="22"/>
          <w:szCs w:val="22"/>
        </w:rPr>
        <w:t xml:space="preserve"> </w:t>
      </w:r>
      <w:proofErr w:type="spellStart"/>
      <w:r w:rsidRPr="00B21BAF">
        <w:rPr>
          <w:sz w:val="22"/>
          <w:szCs w:val="22"/>
        </w:rPr>
        <w:t>terapi</w:t>
      </w:r>
      <w:proofErr w:type="spellEnd"/>
      <w:r w:rsidRPr="00B21BAF">
        <w:rPr>
          <w:sz w:val="22"/>
          <w:szCs w:val="22"/>
        </w:rPr>
        <w:t xml:space="preserve"> yang </w:t>
      </w:r>
      <w:proofErr w:type="spellStart"/>
      <w:r w:rsidRPr="00B21BAF">
        <w:rPr>
          <w:sz w:val="22"/>
          <w:szCs w:val="22"/>
        </w:rPr>
        <w:t>efektif</w:t>
      </w:r>
      <w:proofErr w:type="spellEnd"/>
      <w:r w:rsidRPr="00B21BAF">
        <w:rPr>
          <w:sz w:val="22"/>
          <w:szCs w:val="22"/>
        </w:rPr>
        <w:t xml:space="preserve"> </w:t>
      </w:r>
      <w:proofErr w:type="spellStart"/>
      <w:r w:rsidRPr="00B21BAF">
        <w:rPr>
          <w:sz w:val="22"/>
          <w:szCs w:val="22"/>
        </w:rPr>
        <w:t>adalah</w:t>
      </w:r>
      <w:proofErr w:type="spellEnd"/>
      <w:r w:rsidRPr="00B21BAF">
        <w:rPr>
          <w:sz w:val="22"/>
          <w:szCs w:val="22"/>
        </w:rPr>
        <w:t xml:space="preserve"> </w:t>
      </w:r>
      <w:proofErr w:type="spellStart"/>
      <w:r w:rsidRPr="00B21BAF">
        <w:rPr>
          <w:sz w:val="22"/>
          <w:szCs w:val="22"/>
        </w:rPr>
        <w:t>dengan</w:t>
      </w:r>
      <w:proofErr w:type="spellEnd"/>
      <w:r w:rsidRPr="00B21BAF">
        <w:rPr>
          <w:sz w:val="22"/>
          <w:szCs w:val="22"/>
        </w:rPr>
        <w:t xml:space="preserve"> </w:t>
      </w:r>
      <w:proofErr w:type="spellStart"/>
      <w:r w:rsidRPr="00B21BAF">
        <w:rPr>
          <w:sz w:val="22"/>
          <w:szCs w:val="22"/>
        </w:rPr>
        <w:t>menargetkan</w:t>
      </w:r>
      <w:proofErr w:type="spellEnd"/>
      <w:r w:rsidRPr="00B21BAF">
        <w:rPr>
          <w:sz w:val="22"/>
          <w:szCs w:val="22"/>
        </w:rPr>
        <w:t xml:space="preserve"> Sodium-Glucose Cotransporter 2 (SGLT-2), yang </w:t>
      </w:r>
      <w:proofErr w:type="spellStart"/>
      <w:r w:rsidRPr="00B21BAF">
        <w:rPr>
          <w:sz w:val="22"/>
          <w:szCs w:val="22"/>
        </w:rPr>
        <w:t>berperan</w:t>
      </w:r>
      <w:proofErr w:type="spellEnd"/>
      <w:r w:rsidRPr="00B21BAF">
        <w:rPr>
          <w:sz w:val="22"/>
          <w:szCs w:val="22"/>
        </w:rPr>
        <w:t xml:space="preserve"> </w:t>
      </w:r>
      <w:proofErr w:type="spellStart"/>
      <w:r w:rsidRPr="00B21BAF">
        <w:rPr>
          <w:sz w:val="22"/>
          <w:szCs w:val="22"/>
        </w:rPr>
        <w:lastRenderedPageBreak/>
        <w:t>dalam</w:t>
      </w:r>
      <w:proofErr w:type="spellEnd"/>
      <w:r w:rsidRPr="00B21BAF">
        <w:rPr>
          <w:sz w:val="22"/>
          <w:szCs w:val="22"/>
        </w:rPr>
        <w:t xml:space="preserve"> </w:t>
      </w:r>
      <w:proofErr w:type="spellStart"/>
      <w:r w:rsidRPr="00B21BAF">
        <w:rPr>
          <w:sz w:val="22"/>
          <w:szCs w:val="22"/>
        </w:rPr>
        <w:t>reabsorpsi</w:t>
      </w:r>
      <w:proofErr w:type="spellEnd"/>
      <w:r w:rsidRPr="00B21BAF">
        <w:rPr>
          <w:sz w:val="22"/>
          <w:szCs w:val="22"/>
        </w:rPr>
        <w:t xml:space="preserve"> </w:t>
      </w:r>
      <w:proofErr w:type="spellStart"/>
      <w:r w:rsidRPr="00B21BAF">
        <w:rPr>
          <w:sz w:val="22"/>
          <w:szCs w:val="22"/>
        </w:rPr>
        <w:t>glukosa</w:t>
      </w:r>
      <w:proofErr w:type="spellEnd"/>
      <w:r w:rsidRPr="00B21BAF">
        <w:rPr>
          <w:sz w:val="22"/>
          <w:szCs w:val="22"/>
        </w:rPr>
        <w:t xml:space="preserve"> di </w:t>
      </w:r>
      <w:proofErr w:type="spellStart"/>
      <w:r w:rsidRPr="00B21BAF">
        <w:rPr>
          <w:sz w:val="22"/>
          <w:szCs w:val="22"/>
        </w:rPr>
        <w:t>ginjal</w:t>
      </w:r>
      <w:proofErr w:type="spellEnd"/>
      <w:r w:rsidRPr="00B21BAF">
        <w:rPr>
          <w:sz w:val="22"/>
          <w:szCs w:val="22"/>
        </w:rPr>
        <w:t xml:space="preserve">. Inhibitor SGLT-2 </w:t>
      </w:r>
      <w:proofErr w:type="spellStart"/>
      <w:r w:rsidRPr="00B21BAF">
        <w:rPr>
          <w:sz w:val="22"/>
          <w:szCs w:val="22"/>
        </w:rPr>
        <w:t>bekerja</w:t>
      </w:r>
      <w:proofErr w:type="spellEnd"/>
      <w:r w:rsidRPr="00B21BAF">
        <w:rPr>
          <w:sz w:val="22"/>
          <w:szCs w:val="22"/>
        </w:rPr>
        <w:t xml:space="preserve"> </w:t>
      </w:r>
      <w:proofErr w:type="spellStart"/>
      <w:r w:rsidRPr="00B21BAF">
        <w:rPr>
          <w:sz w:val="22"/>
          <w:szCs w:val="22"/>
        </w:rPr>
        <w:t>dengan</w:t>
      </w:r>
      <w:proofErr w:type="spellEnd"/>
      <w:r w:rsidRPr="00B21BAF">
        <w:rPr>
          <w:sz w:val="22"/>
          <w:szCs w:val="22"/>
        </w:rPr>
        <w:t xml:space="preserve"> </w:t>
      </w:r>
      <w:proofErr w:type="spellStart"/>
      <w:r w:rsidRPr="00B21BAF">
        <w:rPr>
          <w:sz w:val="22"/>
          <w:szCs w:val="22"/>
        </w:rPr>
        <w:t>cara</w:t>
      </w:r>
      <w:proofErr w:type="spellEnd"/>
      <w:r w:rsidRPr="00B21BAF">
        <w:rPr>
          <w:sz w:val="22"/>
          <w:szCs w:val="22"/>
        </w:rPr>
        <w:t xml:space="preserve"> </w:t>
      </w:r>
      <w:proofErr w:type="spellStart"/>
      <w:r w:rsidRPr="00B21BAF">
        <w:rPr>
          <w:sz w:val="22"/>
          <w:szCs w:val="22"/>
        </w:rPr>
        <w:t>menghambat</w:t>
      </w:r>
      <w:proofErr w:type="spellEnd"/>
      <w:r w:rsidRPr="00B21BAF">
        <w:rPr>
          <w:sz w:val="22"/>
          <w:szCs w:val="22"/>
        </w:rPr>
        <w:t xml:space="preserve"> </w:t>
      </w:r>
      <w:proofErr w:type="spellStart"/>
      <w:r w:rsidRPr="00B21BAF">
        <w:rPr>
          <w:sz w:val="22"/>
          <w:szCs w:val="22"/>
        </w:rPr>
        <w:t>transportasi</w:t>
      </w:r>
      <w:proofErr w:type="spellEnd"/>
      <w:r w:rsidRPr="00B21BAF">
        <w:rPr>
          <w:sz w:val="22"/>
          <w:szCs w:val="22"/>
        </w:rPr>
        <w:t xml:space="preserve"> </w:t>
      </w:r>
      <w:proofErr w:type="spellStart"/>
      <w:r w:rsidRPr="00B21BAF">
        <w:rPr>
          <w:sz w:val="22"/>
          <w:szCs w:val="22"/>
        </w:rPr>
        <w:t>glukosa</w:t>
      </w:r>
      <w:proofErr w:type="spellEnd"/>
      <w:r w:rsidRPr="00B21BAF">
        <w:rPr>
          <w:sz w:val="22"/>
          <w:szCs w:val="22"/>
        </w:rPr>
        <w:t xml:space="preserve"> </w:t>
      </w:r>
      <w:proofErr w:type="spellStart"/>
      <w:r w:rsidRPr="00B21BAF">
        <w:rPr>
          <w:sz w:val="22"/>
          <w:szCs w:val="22"/>
        </w:rPr>
        <w:t>kembali</w:t>
      </w:r>
      <w:proofErr w:type="spellEnd"/>
      <w:r w:rsidRPr="00B21BAF">
        <w:rPr>
          <w:sz w:val="22"/>
          <w:szCs w:val="22"/>
        </w:rPr>
        <w:t xml:space="preserve"> </w:t>
      </w:r>
      <w:proofErr w:type="spellStart"/>
      <w:r w:rsidRPr="00B21BAF">
        <w:rPr>
          <w:sz w:val="22"/>
          <w:szCs w:val="22"/>
        </w:rPr>
        <w:t>ke</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darah</w:t>
      </w:r>
      <w:proofErr w:type="spellEnd"/>
      <w:r w:rsidRPr="00B21BAF">
        <w:rPr>
          <w:sz w:val="22"/>
          <w:szCs w:val="22"/>
        </w:rPr>
        <w:t xml:space="preserve">, </w:t>
      </w:r>
      <w:proofErr w:type="spellStart"/>
      <w:r w:rsidRPr="00B21BAF">
        <w:rPr>
          <w:sz w:val="22"/>
          <w:szCs w:val="22"/>
        </w:rPr>
        <w:t>sehingga</w:t>
      </w:r>
      <w:proofErr w:type="spellEnd"/>
      <w:r w:rsidRPr="00B21BAF">
        <w:rPr>
          <w:sz w:val="22"/>
          <w:szCs w:val="22"/>
        </w:rPr>
        <w:t xml:space="preserve"> </w:t>
      </w:r>
      <w:proofErr w:type="spellStart"/>
      <w:r w:rsidRPr="00B21BAF">
        <w:rPr>
          <w:sz w:val="22"/>
          <w:szCs w:val="22"/>
        </w:rPr>
        <w:t>membantu</w:t>
      </w:r>
      <w:proofErr w:type="spellEnd"/>
      <w:r w:rsidRPr="00B21BAF">
        <w:rPr>
          <w:sz w:val="22"/>
          <w:szCs w:val="22"/>
        </w:rPr>
        <w:t xml:space="preserve"> </w:t>
      </w:r>
      <w:proofErr w:type="spellStart"/>
      <w:r w:rsidRPr="00B21BAF">
        <w:rPr>
          <w:sz w:val="22"/>
          <w:szCs w:val="22"/>
        </w:rPr>
        <w:t>mengurangi</w:t>
      </w:r>
      <w:proofErr w:type="spellEnd"/>
      <w:r w:rsidRPr="00B21BAF">
        <w:rPr>
          <w:sz w:val="22"/>
          <w:szCs w:val="22"/>
        </w:rPr>
        <w:t xml:space="preserve"> </w:t>
      </w:r>
      <w:proofErr w:type="spellStart"/>
      <w:r w:rsidRPr="00B21BAF">
        <w:rPr>
          <w:sz w:val="22"/>
          <w:szCs w:val="22"/>
        </w:rPr>
        <w:t>kadar</w:t>
      </w:r>
      <w:proofErr w:type="spellEnd"/>
      <w:r w:rsidRPr="00B21BAF">
        <w:rPr>
          <w:sz w:val="22"/>
          <w:szCs w:val="22"/>
        </w:rPr>
        <w:t xml:space="preserve"> </w:t>
      </w:r>
      <w:proofErr w:type="spellStart"/>
      <w:r w:rsidRPr="00B21BAF">
        <w:rPr>
          <w:sz w:val="22"/>
          <w:szCs w:val="22"/>
        </w:rPr>
        <w:t>glukosa</w:t>
      </w:r>
      <w:proofErr w:type="spellEnd"/>
      <w:r w:rsidRPr="00B21BAF">
        <w:rPr>
          <w:sz w:val="22"/>
          <w:szCs w:val="22"/>
        </w:rPr>
        <w:t xml:space="preserve"> </w:t>
      </w:r>
      <w:proofErr w:type="spellStart"/>
      <w:r w:rsidRPr="00B21BAF">
        <w:rPr>
          <w:sz w:val="22"/>
          <w:szCs w:val="22"/>
        </w:rPr>
        <w:t>darah</w:t>
      </w:r>
      <w:proofErr w:type="spellEnd"/>
      <w:r w:rsidRPr="00B21BAF">
        <w:rPr>
          <w:sz w:val="22"/>
          <w:szCs w:val="22"/>
        </w:rPr>
        <w:t xml:space="preserve"> pada </w:t>
      </w:r>
      <w:proofErr w:type="spellStart"/>
      <w:r w:rsidRPr="00B21BAF">
        <w:rPr>
          <w:sz w:val="22"/>
          <w:szCs w:val="22"/>
        </w:rPr>
        <w:t>pasien</w:t>
      </w:r>
      <w:proofErr w:type="spellEnd"/>
      <w:r w:rsidRPr="00B21BAF">
        <w:rPr>
          <w:sz w:val="22"/>
          <w:szCs w:val="22"/>
        </w:rPr>
        <w:t xml:space="preserve"> diabetes</w:t>
      </w:r>
      <w:r w:rsidR="00185360">
        <w:rPr>
          <w:sz w:val="22"/>
          <w:szCs w:val="22"/>
        </w:rPr>
        <w:t xml:space="preserve"> </w:t>
      </w:r>
      <w:r w:rsidR="00185360">
        <w:rPr>
          <w:sz w:val="22"/>
          <w:szCs w:val="22"/>
        </w:rPr>
        <w:fldChar w:fldCharType="begin" w:fldLock="1"/>
      </w:r>
      <w:r w:rsidR="00185360">
        <w:rPr>
          <w:sz w:val="22"/>
          <w:szCs w:val="22"/>
        </w:rPr>
        <w:instrText>ADDIN CSL_CITATION {"citationItems":[{"id":"ITEM-1","itemData":{"DOI":"10.1016/j.biopha.2020.110708","ISSN":"1950-6007 (Electronic)","PMID":"32927252","abstract":"Diabetes mellitus (DM) is a metabolic disorder that occurs in the body because of  decreased insulin activity and/or insulin secretion. Pathological changes such as nephropathy, retinopathy, and cardiovascular complications inevitably occur in the body with the progression of the disease. DM is mainly categorized into 2 sub-types, type I DM and type II DM. While type I DM is generally treated through insulin replacement therapy, type II DM is treated with oral hypoglycaemics. The major drug therapy for type II DM comprises of insulin secretagogues, biguanides, insulin sensitizers, alpha glucosidase inhibitors, incretin mimetics, amylin antagonists and sodium-glucose co-transporter-2 (SGLT2) inhibitors. Dual drug therapies are often recommended in patients who are unable to achieve therapeutic goals with first line oral hypoglycaemic agents as monotherapy. Inspite of the appreciable therapeutic benefits, the conventional dosage forms depicts differential bioavailability and short half-life, mandating frequent dosage and causing greater side effects leading to therapy ineffectiveness and patient non-compliance. Given the pathological complexity of the said disease, nanotechnology-based approaches are more enticing as it comes with added advantage of site-specific drug delivery with higher bioavailability and reduced dosage regimen. In the present review article, we have made an attempt to explore the pathophysiology of type II DM, the conventional treatment approaches (mono and combination therapy) as well as the nano based drug delivery approaches for the treatment of type II DM.","author":[{"dropping-particle":"","family":"Padhi","given":"Santwana","non-dropping-particle":"","parse-names":false,"suffix":""},{"dropping-particle":"","family":"Nayak","given":"Amit Kumar","non-dropping-particle":"","parse-names":false,"suffix":""},{"dropping-particle":"","family":"Behera","given":"Anindita","non-dropping-particle":"","parse-names":false,"suffix":""}],"container-title":"Biomedicine &amp; pharmacotherapy = Biomedecine &amp; pharmacotherapie","id":"ITEM-1","issued":{"date-parts":[["2020","11"]]},"language":"eng","page":"110708","publisher-place":"France","title":"Type II diabetes mellitus: a review on recent drug based therapeutics.","type":"article-journal","volume":"131"},"uris":["http://www.mendeley.com/documents/?uuid=410a455e-048a-42a3-8879-ef6f3c15cabb"]}],"mendeley":{"formattedCitation":"(Padhi et al., 2020)","plainTextFormattedCitation":"(Padhi et al., 2020)","previouslyFormattedCitation":"(Padhi et al., 2020)"},"properties":{"noteIndex":0},"schema":"https://github.com/citation-style-language/schema/raw/master/csl-citation.json"}</w:instrText>
      </w:r>
      <w:r w:rsidR="00185360">
        <w:rPr>
          <w:sz w:val="22"/>
          <w:szCs w:val="22"/>
        </w:rPr>
        <w:fldChar w:fldCharType="separate"/>
      </w:r>
      <w:r w:rsidR="00185360" w:rsidRPr="00185360">
        <w:rPr>
          <w:noProof/>
          <w:sz w:val="22"/>
          <w:szCs w:val="22"/>
        </w:rPr>
        <w:t>(Padhi et al., 2020)</w:t>
      </w:r>
      <w:r w:rsidR="00185360">
        <w:rPr>
          <w:sz w:val="22"/>
          <w:szCs w:val="22"/>
        </w:rPr>
        <w:fldChar w:fldCharType="end"/>
      </w:r>
      <w:r w:rsidRPr="00B21BAF">
        <w:rPr>
          <w:sz w:val="22"/>
          <w:szCs w:val="22"/>
        </w:rPr>
        <w:t>.</w:t>
      </w:r>
    </w:p>
    <w:p w14:paraId="14E33A54" w14:textId="77777777" w:rsidR="00B21BAF" w:rsidRDefault="00B21BAF" w:rsidP="00B21BAF">
      <w:pPr>
        <w:spacing w:line="360" w:lineRule="auto"/>
        <w:ind w:firstLine="284"/>
        <w:jc w:val="both"/>
        <w:rPr>
          <w:sz w:val="22"/>
          <w:szCs w:val="22"/>
        </w:rPr>
      </w:pPr>
      <w:proofErr w:type="spellStart"/>
      <w:r w:rsidRPr="00B21BAF">
        <w:rPr>
          <w:sz w:val="22"/>
          <w:szCs w:val="22"/>
        </w:rPr>
        <w:t>Sumber</w:t>
      </w:r>
      <w:proofErr w:type="spellEnd"/>
      <w:r w:rsidRPr="00B21BAF">
        <w:rPr>
          <w:sz w:val="22"/>
          <w:szCs w:val="22"/>
        </w:rPr>
        <w:t xml:space="preserve"> </w:t>
      </w:r>
      <w:proofErr w:type="spellStart"/>
      <w:r w:rsidRPr="00B21BAF">
        <w:rPr>
          <w:sz w:val="22"/>
          <w:szCs w:val="22"/>
        </w:rPr>
        <w:t>alami</w:t>
      </w:r>
      <w:proofErr w:type="spellEnd"/>
      <w:r w:rsidRPr="00B21BAF">
        <w:rPr>
          <w:sz w:val="22"/>
          <w:szCs w:val="22"/>
        </w:rPr>
        <w:t xml:space="preserve">, </w:t>
      </w:r>
      <w:proofErr w:type="spellStart"/>
      <w:r w:rsidRPr="00B21BAF">
        <w:rPr>
          <w:sz w:val="22"/>
          <w:szCs w:val="22"/>
        </w:rPr>
        <w:t>khususnya</w:t>
      </w:r>
      <w:proofErr w:type="spellEnd"/>
      <w:r w:rsidRPr="00B21BAF">
        <w:rPr>
          <w:sz w:val="22"/>
          <w:szCs w:val="22"/>
        </w:rPr>
        <w:t xml:space="preserve"> </w:t>
      </w:r>
      <w:proofErr w:type="spellStart"/>
      <w:r w:rsidRPr="00B21BAF">
        <w:rPr>
          <w:sz w:val="22"/>
          <w:szCs w:val="22"/>
        </w:rPr>
        <w:t>senyawa</w:t>
      </w:r>
      <w:proofErr w:type="spellEnd"/>
      <w:r w:rsidRPr="00B21BAF">
        <w:rPr>
          <w:sz w:val="22"/>
          <w:szCs w:val="22"/>
        </w:rPr>
        <w:t xml:space="preserve"> yang </w:t>
      </w:r>
      <w:proofErr w:type="spellStart"/>
      <w:r w:rsidRPr="00B21BAF">
        <w:rPr>
          <w:sz w:val="22"/>
          <w:szCs w:val="22"/>
        </w:rPr>
        <w:t>diisolasi</w:t>
      </w:r>
      <w:proofErr w:type="spellEnd"/>
      <w:r w:rsidRPr="00B21BAF">
        <w:rPr>
          <w:sz w:val="22"/>
          <w:szCs w:val="22"/>
        </w:rPr>
        <w:t xml:space="preserve"> </w:t>
      </w:r>
      <w:proofErr w:type="spellStart"/>
      <w:r w:rsidRPr="00B21BAF">
        <w:rPr>
          <w:sz w:val="22"/>
          <w:szCs w:val="22"/>
        </w:rPr>
        <w:t>dari</w:t>
      </w:r>
      <w:proofErr w:type="spellEnd"/>
      <w:r w:rsidRPr="00B21BAF">
        <w:rPr>
          <w:sz w:val="22"/>
          <w:szCs w:val="22"/>
        </w:rPr>
        <w:t xml:space="preserve"> </w:t>
      </w:r>
      <w:proofErr w:type="spellStart"/>
      <w:r w:rsidRPr="00B21BAF">
        <w:rPr>
          <w:sz w:val="22"/>
          <w:szCs w:val="22"/>
        </w:rPr>
        <w:t>organisme</w:t>
      </w:r>
      <w:proofErr w:type="spellEnd"/>
      <w:r w:rsidRPr="00B21BAF">
        <w:rPr>
          <w:sz w:val="22"/>
          <w:szCs w:val="22"/>
        </w:rPr>
        <w:t xml:space="preserve"> </w:t>
      </w:r>
      <w:proofErr w:type="spellStart"/>
      <w:r w:rsidRPr="00B21BAF">
        <w:rPr>
          <w:sz w:val="22"/>
          <w:szCs w:val="22"/>
        </w:rPr>
        <w:t>laut</w:t>
      </w:r>
      <w:proofErr w:type="spellEnd"/>
      <w:r w:rsidRPr="00B21BAF">
        <w:rPr>
          <w:sz w:val="22"/>
          <w:szCs w:val="22"/>
        </w:rPr>
        <w:t xml:space="preserve">, </w:t>
      </w:r>
      <w:proofErr w:type="spellStart"/>
      <w:r w:rsidRPr="00B21BAF">
        <w:rPr>
          <w:sz w:val="22"/>
          <w:szCs w:val="22"/>
        </w:rPr>
        <w:t>telah</w:t>
      </w:r>
      <w:proofErr w:type="spellEnd"/>
      <w:r w:rsidRPr="00B21BAF">
        <w:rPr>
          <w:sz w:val="22"/>
          <w:szCs w:val="22"/>
        </w:rPr>
        <w:t xml:space="preserve"> lama </w:t>
      </w:r>
      <w:proofErr w:type="spellStart"/>
      <w:r w:rsidRPr="00B21BAF">
        <w:rPr>
          <w:sz w:val="22"/>
          <w:szCs w:val="22"/>
        </w:rPr>
        <w:t>dikenal</w:t>
      </w:r>
      <w:proofErr w:type="spellEnd"/>
      <w:r w:rsidRPr="00B21BAF">
        <w:rPr>
          <w:sz w:val="22"/>
          <w:szCs w:val="22"/>
        </w:rPr>
        <w:t xml:space="preserve"> </w:t>
      </w:r>
      <w:proofErr w:type="spellStart"/>
      <w:r w:rsidRPr="00B21BAF">
        <w:rPr>
          <w:sz w:val="22"/>
          <w:szCs w:val="22"/>
        </w:rPr>
        <w:t>sebagai</w:t>
      </w:r>
      <w:proofErr w:type="spellEnd"/>
      <w:r w:rsidRPr="00B21BAF">
        <w:rPr>
          <w:sz w:val="22"/>
          <w:szCs w:val="22"/>
        </w:rPr>
        <w:t xml:space="preserve"> </w:t>
      </w:r>
      <w:proofErr w:type="spellStart"/>
      <w:r w:rsidRPr="00B21BAF">
        <w:rPr>
          <w:sz w:val="22"/>
          <w:szCs w:val="22"/>
        </w:rPr>
        <w:t>sumber</w:t>
      </w:r>
      <w:proofErr w:type="spellEnd"/>
      <w:r w:rsidRPr="00B21BAF">
        <w:rPr>
          <w:sz w:val="22"/>
          <w:szCs w:val="22"/>
        </w:rPr>
        <w:t xml:space="preserve"> </w:t>
      </w:r>
      <w:proofErr w:type="spellStart"/>
      <w:r w:rsidRPr="00B21BAF">
        <w:rPr>
          <w:sz w:val="22"/>
          <w:szCs w:val="22"/>
        </w:rPr>
        <w:t>potensial</w:t>
      </w:r>
      <w:proofErr w:type="spellEnd"/>
      <w:r w:rsidRPr="00B21BAF">
        <w:rPr>
          <w:sz w:val="22"/>
          <w:szCs w:val="22"/>
        </w:rPr>
        <w:t xml:space="preserve"> </w:t>
      </w:r>
      <w:proofErr w:type="spellStart"/>
      <w:r w:rsidRPr="00B21BAF">
        <w:rPr>
          <w:sz w:val="22"/>
          <w:szCs w:val="22"/>
        </w:rPr>
        <w:t>untuk</w:t>
      </w:r>
      <w:proofErr w:type="spellEnd"/>
      <w:r w:rsidRPr="00B21BAF">
        <w:rPr>
          <w:sz w:val="22"/>
          <w:szCs w:val="22"/>
        </w:rPr>
        <w:t xml:space="preserve"> </w:t>
      </w:r>
      <w:proofErr w:type="spellStart"/>
      <w:r w:rsidRPr="00B21BAF">
        <w:rPr>
          <w:sz w:val="22"/>
          <w:szCs w:val="22"/>
        </w:rPr>
        <w:t>pengembangan</w:t>
      </w:r>
      <w:proofErr w:type="spellEnd"/>
      <w:r w:rsidRPr="00B21BAF">
        <w:rPr>
          <w:sz w:val="22"/>
          <w:szCs w:val="22"/>
        </w:rPr>
        <w:t xml:space="preserve"> </w:t>
      </w:r>
      <w:proofErr w:type="spellStart"/>
      <w:r w:rsidRPr="00B21BAF">
        <w:rPr>
          <w:sz w:val="22"/>
          <w:szCs w:val="22"/>
        </w:rPr>
        <w:t>agen</w:t>
      </w:r>
      <w:proofErr w:type="spellEnd"/>
      <w:r w:rsidRPr="00B21BAF">
        <w:rPr>
          <w:sz w:val="22"/>
          <w:szCs w:val="22"/>
        </w:rPr>
        <w:t xml:space="preserve"> </w:t>
      </w:r>
      <w:proofErr w:type="spellStart"/>
      <w:r w:rsidRPr="00B21BAF">
        <w:rPr>
          <w:sz w:val="22"/>
          <w:szCs w:val="22"/>
        </w:rPr>
        <w:t>terapeutik</w:t>
      </w:r>
      <w:proofErr w:type="spellEnd"/>
      <w:r w:rsidRPr="00B21BAF">
        <w:rPr>
          <w:sz w:val="22"/>
          <w:szCs w:val="22"/>
        </w:rPr>
        <w:t xml:space="preserve"> </w:t>
      </w:r>
      <w:proofErr w:type="spellStart"/>
      <w:r w:rsidRPr="00B21BAF">
        <w:rPr>
          <w:sz w:val="22"/>
          <w:szCs w:val="22"/>
        </w:rPr>
        <w:t>baru</w:t>
      </w:r>
      <w:proofErr w:type="spellEnd"/>
      <w:r w:rsidR="00185360">
        <w:rPr>
          <w:sz w:val="22"/>
          <w:szCs w:val="22"/>
        </w:rPr>
        <w:t xml:space="preserve"> </w:t>
      </w:r>
      <w:r w:rsidR="00185360">
        <w:rPr>
          <w:sz w:val="22"/>
          <w:szCs w:val="22"/>
        </w:rPr>
        <w:fldChar w:fldCharType="begin" w:fldLock="1"/>
      </w:r>
      <w:r w:rsidR="008303AB">
        <w:rPr>
          <w:sz w:val="22"/>
          <w:szCs w:val="22"/>
        </w:rPr>
        <w:instrText>ADDIN CSL_CITATION {"citationItems":[{"id":"ITEM-1","itemData":{"DOI":"10.3390/metabo2020303","ISSN":"2218-1989 (Print)","PMID":"24957513","abstract":"Historically, natural products have been used since ancient times and in folklore  for the treatment of many diseases and illnesses. Classical natural product chemistry methodologies enabled a vast array of bioactive secondary metabolites from terrestrial and marine sources to be discovered. Many of these natural products have gone on to become current drug candidates. This brief review aims to highlight historically significant bioactive marine and terrestrial natural products, their use in folklore and dereplication techniques to rapidly facilitate their discovery. Furthermore a discussion of how natural product chemistry has resulted in the identification of many drug candidates; the application of advanced hyphenated spectroscopic techniques to aid in their discovery, the future of natural product chemistry and finally adopting metabolomic profiling and dereplication approaches for the comprehensive study of natural product extracts will be discussed.","author":[{"dropping-particle":"","family":"Dias","given":"Daniel A","non-dropping-particle":"","parse-names":false,"suffix":""},{"dropping-particle":"","family":"Urban","given":"Sylvia","non-dropping-particle":"","parse-names":false,"suffix":""},{"dropping-particle":"","family":"Roessner","given":"Ute","non-dropping-particle":"","parse-names":false,"suffix":""}],"container-title":"Metabolites","id":"ITEM-1","issue":"2","issued":{"date-parts":[["2012","4"]]},"language":"eng","page":"303-336","title":"A historical overview of natural products in drug discovery.","type":"article-journal","volume":"2"},"uris":["http://www.mendeley.com/documents/?uuid=d81c6549-442b-432e-9e18-70484cd92ae9"]}],"mendeley":{"formattedCitation":"(Dias et al., 2012)","plainTextFormattedCitation":"(Dias et al., 2012)","previouslyFormattedCitation":"(Dias et al., 2012)"},"properties":{"noteIndex":0},"schema":"https://github.com/citation-style-language/schema/raw/master/csl-citation.json"}</w:instrText>
      </w:r>
      <w:r w:rsidR="00185360">
        <w:rPr>
          <w:sz w:val="22"/>
          <w:szCs w:val="22"/>
        </w:rPr>
        <w:fldChar w:fldCharType="separate"/>
      </w:r>
      <w:r w:rsidR="00185360" w:rsidRPr="00185360">
        <w:rPr>
          <w:noProof/>
          <w:sz w:val="22"/>
          <w:szCs w:val="22"/>
        </w:rPr>
        <w:t>(Dias et al., 2012)</w:t>
      </w:r>
      <w:r w:rsidR="00185360">
        <w:rPr>
          <w:sz w:val="22"/>
          <w:szCs w:val="22"/>
        </w:rPr>
        <w:fldChar w:fldCharType="end"/>
      </w:r>
      <w:r w:rsidRPr="00B21BAF">
        <w:rPr>
          <w:sz w:val="22"/>
          <w:szCs w:val="22"/>
        </w:rPr>
        <w:t xml:space="preserve">. </w:t>
      </w:r>
      <w:proofErr w:type="spellStart"/>
      <w:r w:rsidR="008303AB">
        <w:rPr>
          <w:sz w:val="22"/>
          <w:szCs w:val="22"/>
        </w:rPr>
        <w:t>Beberapa</w:t>
      </w:r>
      <w:proofErr w:type="spellEnd"/>
      <w:r w:rsidR="008303AB">
        <w:rPr>
          <w:sz w:val="22"/>
          <w:szCs w:val="22"/>
        </w:rPr>
        <w:t xml:space="preserve"> </w:t>
      </w:r>
      <w:proofErr w:type="spellStart"/>
      <w:r w:rsidR="008303AB">
        <w:rPr>
          <w:sz w:val="22"/>
          <w:szCs w:val="22"/>
        </w:rPr>
        <w:t>bahan</w:t>
      </w:r>
      <w:proofErr w:type="spellEnd"/>
      <w:r w:rsidR="008303AB">
        <w:rPr>
          <w:sz w:val="22"/>
          <w:szCs w:val="22"/>
        </w:rPr>
        <w:t xml:space="preserve"> </w:t>
      </w:r>
      <w:proofErr w:type="spellStart"/>
      <w:r w:rsidR="008303AB">
        <w:rPr>
          <w:sz w:val="22"/>
          <w:szCs w:val="22"/>
        </w:rPr>
        <w:t>alam</w:t>
      </w:r>
      <w:proofErr w:type="spellEnd"/>
      <w:r w:rsidR="008303AB">
        <w:rPr>
          <w:sz w:val="22"/>
          <w:szCs w:val="22"/>
        </w:rPr>
        <w:t xml:space="preserve"> </w:t>
      </w:r>
      <w:proofErr w:type="spellStart"/>
      <w:r w:rsidR="008303AB">
        <w:rPr>
          <w:sz w:val="22"/>
          <w:szCs w:val="22"/>
        </w:rPr>
        <w:t>laut</w:t>
      </w:r>
      <w:proofErr w:type="spellEnd"/>
      <w:r w:rsidRPr="00B21BAF">
        <w:rPr>
          <w:sz w:val="22"/>
          <w:szCs w:val="22"/>
        </w:rPr>
        <w:t xml:space="preserve"> </w:t>
      </w:r>
      <w:proofErr w:type="spellStart"/>
      <w:r w:rsidRPr="00B21BAF">
        <w:rPr>
          <w:sz w:val="22"/>
          <w:szCs w:val="22"/>
        </w:rPr>
        <w:t>telah</w:t>
      </w:r>
      <w:proofErr w:type="spellEnd"/>
      <w:r w:rsidRPr="00B21BAF">
        <w:rPr>
          <w:sz w:val="22"/>
          <w:szCs w:val="22"/>
        </w:rPr>
        <w:t xml:space="preserve"> </w:t>
      </w:r>
      <w:proofErr w:type="spellStart"/>
      <w:r w:rsidRPr="00B21BAF">
        <w:rPr>
          <w:sz w:val="22"/>
          <w:szCs w:val="22"/>
        </w:rPr>
        <w:t>terbukti</w:t>
      </w:r>
      <w:proofErr w:type="spellEnd"/>
      <w:r w:rsidRPr="00B21BAF">
        <w:rPr>
          <w:sz w:val="22"/>
          <w:szCs w:val="22"/>
        </w:rPr>
        <w:t xml:space="preserve"> </w:t>
      </w:r>
      <w:proofErr w:type="spellStart"/>
      <w:r w:rsidRPr="00B21BAF">
        <w:rPr>
          <w:sz w:val="22"/>
          <w:szCs w:val="22"/>
        </w:rPr>
        <w:t>menunjukkan</w:t>
      </w:r>
      <w:proofErr w:type="spellEnd"/>
      <w:r w:rsidRPr="00B21BAF">
        <w:rPr>
          <w:sz w:val="22"/>
          <w:szCs w:val="22"/>
        </w:rPr>
        <w:t xml:space="preserve"> </w:t>
      </w:r>
      <w:proofErr w:type="spellStart"/>
      <w:r w:rsidRPr="00B21BAF">
        <w:rPr>
          <w:sz w:val="22"/>
          <w:szCs w:val="22"/>
        </w:rPr>
        <w:t>aktivitas</w:t>
      </w:r>
      <w:proofErr w:type="spellEnd"/>
      <w:r w:rsidRPr="00B21BAF">
        <w:rPr>
          <w:sz w:val="22"/>
          <w:szCs w:val="22"/>
        </w:rPr>
        <w:t xml:space="preserve"> </w:t>
      </w:r>
      <w:proofErr w:type="spellStart"/>
      <w:r w:rsidRPr="00B21BAF">
        <w:rPr>
          <w:sz w:val="22"/>
          <w:szCs w:val="22"/>
        </w:rPr>
        <w:t>penghambatan</w:t>
      </w:r>
      <w:proofErr w:type="spellEnd"/>
      <w:r w:rsidRPr="00B21BAF">
        <w:rPr>
          <w:sz w:val="22"/>
          <w:szCs w:val="22"/>
        </w:rPr>
        <w:t xml:space="preserve"> </w:t>
      </w:r>
      <w:proofErr w:type="spellStart"/>
      <w:r w:rsidRPr="00B21BAF">
        <w:rPr>
          <w:sz w:val="22"/>
          <w:szCs w:val="22"/>
        </w:rPr>
        <w:t>terhadap</w:t>
      </w:r>
      <w:proofErr w:type="spellEnd"/>
      <w:r w:rsidRPr="00B21BAF">
        <w:rPr>
          <w:sz w:val="22"/>
          <w:szCs w:val="22"/>
        </w:rPr>
        <w:t xml:space="preserve"> </w:t>
      </w:r>
      <w:proofErr w:type="spellStart"/>
      <w:r w:rsidRPr="00B21BAF">
        <w:rPr>
          <w:sz w:val="22"/>
          <w:szCs w:val="22"/>
        </w:rPr>
        <w:t>enzim</w:t>
      </w:r>
      <w:proofErr w:type="spellEnd"/>
      <w:r w:rsidRPr="00B21BAF">
        <w:rPr>
          <w:sz w:val="22"/>
          <w:szCs w:val="22"/>
        </w:rPr>
        <w:t xml:space="preserve">, yang </w:t>
      </w:r>
      <w:proofErr w:type="spellStart"/>
      <w:r w:rsidRPr="00B21BAF">
        <w:rPr>
          <w:sz w:val="22"/>
          <w:szCs w:val="22"/>
        </w:rPr>
        <w:t>terkait</w:t>
      </w:r>
      <w:proofErr w:type="spellEnd"/>
      <w:r w:rsidRPr="00B21BAF">
        <w:rPr>
          <w:sz w:val="22"/>
          <w:szCs w:val="22"/>
        </w:rPr>
        <w:t xml:space="preserve"> </w:t>
      </w:r>
      <w:proofErr w:type="spellStart"/>
      <w:r w:rsidRPr="00B21BAF">
        <w:rPr>
          <w:sz w:val="22"/>
          <w:szCs w:val="22"/>
        </w:rPr>
        <w:t>dengan</w:t>
      </w:r>
      <w:proofErr w:type="spellEnd"/>
      <w:r w:rsidRPr="00B21BAF">
        <w:rPr>
          <w:sz w:val="22"/>
          <w:szCs w:val="22"/>
        </w:rPr>
        <w:t xml:space="preserve"> </w:t>
      </w:r>
      <w:proofErr w:type="spellStart"/>
      <w:r w:rsidRPr="00B21BAF">
        <w:rPr>
          <w:sz w:val="22"/>
          <w:szCs w:val="22"/>
        </w:rPr>
        <w:t>berbagai</w:t>
      </w:r>
      <w:proofErr w:type="spellEnd"/>
      <w:r w:rsidRPr="00B21BAF">
        <w:rPr>
          <w:sz w:val="22"/>
          <w:szCs w:val="22"/>
        </w:rPr>
        <w:t xml:space="preserve"> </w:t>
      </w:r>
      <w:proofErr w:type="spellStart"/>
      <w:r w:rsidRPr="00B21BAF">
        <w:rPr>
          <w:sz w:val="22"/>
          <w:szCs w:val="22"/>
        </w:rPr>
        <w:t>fungsi</w:t>
      </w:r>
      <w:proofErr w:type="spellEnd"/>
      <w:r w:rsidRPr="00B21BAF">
        <w:rPr>
          <w:sz w:val="22"/>
          <w:szCs w:val="22"/>
        </w:rPr>
        <w:t xml:space="preserve"> </w:t>
      </w:r>
      <w:r w:rsidR="00185360">
        <w:rPr>
          <w:sz w:val="22"/>
          <w:szCs w:val="22"/>
        </w:rPr>
        <w:t xml:space="preserve">metabolic </w:t>
      </w:r>
      <w:r w:rsidR="008303AB">
        <w:rPr>
          <w:sz w:val="22"/>
          <w:szCs w:val="22"/>
        </w:rPr>
        <w:fldChar w:fldCharType="begin" w:fldLock="1"/>
      </w:r>
      <w:r w:rsidR="008303AB">
        <w:rPr>
          <w:sz w:val="22"/>
          <w:szCs w:val="22"/>
        </w:rPr>
        <w:instrText>ADDIN CSL_CITATION {"citationItems":[{"id":"ITEM-1","itemData":{"DOI":"10.3390/pharmaceutics15092321","ISSN":"19994923","abstract":"Background: Type 2 diabetes mellitus (T2DM) is an ongoing, risky, and costly health problem that therefore always requires new treatment options. Moreover, although several drugs are available, only 36% of patients achieve glycaemic control, and patient adherence is a major obstacle. With monotherapy, T2DM and its comorbidities/complications often cannot be managed, and the concurrent administration of several hypoglycaemic drugs is required, which increases the risk of side effects. In fact, despite the efficacy of the drugs currently on the market, they generally come with serious side effects. Therefore, scientific research must always be active in the discovery of new therapeutic agents. Discussion: The present review highlights some of the recent discoveries regarding marine natural products that can modulate the various targets that have been identified as crucial in the establishment of T2DM disease and its complications, with a focus on the compounds isolated from marine invertebrates. The activities of these metabolites are illustrated and discussed. Objectives. The paper aims to capture the relevant evidence of the great chemical diversity of marine natural products as a key tool that can advance understanding in the T2DM research field, as well as in antidiabetic drug discovery. The variety of chemical scaffolds highlighted by the natural hits provides not only a source of chemical probes for the study of specific targets involved in the onset of T2DM, but is also a helpful tool for the development of drugs that are capable of acting via novel mechanisms. Thus, it lays the foundation for the design of multiple ligands that can overcome the drawbacks of polypharmacology.","author":[{"dropping-particle":"","family":"Casertano","given":"Marcello","non-dropping-particle":"","parse-names":false,"suffix":""},{"dropping-particle":"","family":"Vito","given":"Alessio","non-dropping-particle":"","parse-names":false,"suffix":""},{"dropping-particle":"","family":"Aiello","given":"Anna","non-dropping-particle":"","parse-names":false,"suffix":""},{"dropping-particle":"","family":"Imperatore","given":"Concetta","non-dropping-particle":"","parse-names":false,"suffix":""},{"dropping-particle":"","family":"Menna","given":"Marialuisa","non-dropping-particle":"","parse-names":false,"suffix":""}],"container-title":"Pharmaceutics","id":"ITEM-1","issue":"9","issued":{"date-parts":[["2023"]]},"title":"Natural Bioactive Compounds from Marine Invertebrates That Modulate Key Targets Implicated in the Onset of Type 2 Diabetes Mellitus (T2DM) and Its Complications","type":"article-journal","volume":"15"},"uris":["http://www.mendeley.com/documents/?uuid=05872877-3c3d-4799-a51d-e5afeb8b3054"]}],"mendeley":{"formattedCitation":"(Casertano et al., 2023)","plainTextFormattedCitation":"(Casertano et al., 2023)","previouslyFormattedCitation":"(Casertano et al., 2023)"},"properties":{"noteIndex":0},"schema":"https://github.com/citation-style-language/schema/raw/master/csl-citation.json"}</w:instrText>
      </w:r>
      <w:r w:rsidR="008303AB">
        <w:rPr>
          <w:sz w:val="22"/>
          <w:szCs w:val="22"/>
        </w:rPr>
        <w:fldChar w:fldCharType="separate"/>
      </w:r>
      <w:r w:rsidR="008303AB" w:rsidRPr="008303AB">
        <w:rPr>
          <w:noProof/>
          <w:sz w:val="22"/>
          <w:szCs w:val="22"/>
        </w:rPr>
        <w:t>(Casertano et al., 2023)</w:t>
      </w:r>
      <w:r w:rsidR="008303AB">
        <w:rPr>
          <w:sz w:val="22"/>
          <w:szCs w:val="22"/>
        </w:rPr>
        <w:fldChar w:fldCharType="end"/>
      </w:r>
      <w:r w:rsidRPr="00B21BAF">
        <w:rPr>
          <w:sz w:val="22"/>
          <w:szCs w:val="22"/>
        </w:rPr>
        <w:t xml:space="preserve">. </w:t>
      </w:r>
      <w:proofErr w:type="spellStart"/>
      <w:r w:rsidRPr="00B21BAF">
        <w:rPr>
          <w:sz w:val="22"/>
          <w:szCs w:val="22"/>
        </w:rPr>
        <w:t>Penelitian</w:t>
      </w:r>
      <w:proofErr w:type="spellEnd"/>
      <w:r w:rsidRPr="00B21BAF">
        <w:rPr>
          <w:sz w:val="22"/>
          <w:szCs w:val="22"/>
        </w:rPr>
        <w:t xml:space="preserve"> </w:t>
      </w:r>
      <w:proofErr w:type="spellStart"/>
      <w:r w:rsidRPr="00B21BAF">
        <w:rPr>
          <w:sz w:val="22"/>
          <w:szCs w:val="22"/>
        </w:rPr>
        <w:t>terhadap</w:t>
      </w:r>
      <w:proofErr w:type="spellEnd"/>
      <w:r w:rsidRPr="00B21BAF">
        <w:rPr>
          <w:sz w:val="22"/>
          <w:szCs w:val="22"/>
        </w:rPr>
        <w:t xml:space="preserve"> </w:t>
      </w:r>
      <w:proofErr w:type="spellStart"/>
      <w:r w:rsidRPr="00B21BAF">
        <w:rPr>
          <w:sz w:val="22"/>
          <w:szCs w:val="22"/>
        </w:rPr>
        <w:t>senyawa-senyawa</w:t>
      </w:r>
      <w:proofErr w:type="spellEnd"/>
      <w:r w:rsidRPr="00B21BAF">
        <w:rPr>
          <w:sz w:val="22"/>
          <w:szCs w:val="22"/>
        </w:rPr>
        <w:t xml:space="preserve"> lain yang </w:t>
      </w:r>
      <w:proofErr w:type="spellStart"/>
      <w:r w:rsidRPr="00B21BAF">
        <w:rPr>
          <w:sz w:val="22"/>
          <w:szCs w:val="22"/>
        </w:rPr>
        <w:t>diisolasi</w:t>
      </w:r>
      <w:proofErr w:type="spellEnd"/>
      <w:r w:rsidRPr="00B21BAF">
        <w:rPr>
          <w:sz w:val="22"/>
          <w:szCs w:val="22"/>
        </w:rPr>
        <w:t xml:space="preserve"> </w:t>
      </w:r>
      <w:proofErr w:type="spellStart"/>
      <w:r w:rsidRPr="00B21BAF">
        <w:rPr>
          <w:sz w:val="22"/>
          <w:szCs w:val="22"/>
        </w:rPr>
        <w:t>dari</w:t>
      </w:r>
      <w:proofErr w:type="spellEnd"/>
      <w:r w:rsidRPr="00B21BAF">
        <w:rPr>
          <w:sz w:val="22"/>
          <w:szCs w:val="22"/>
        </w:rPr>
        <w:t xml:space="preserve"> </w:t>
      </w:r>
      <w:proofErr w:type="spellStart"/>
      <w:r w:rsidRPr="00B21BAF">
        <w:rPr>
          <w:sz w:val="22"/>
          <w:szCs w:val="22"/>
        </w:rPr>
        <w:t>spons</w:t>
      </w:r>
      <w:proofErr w:type="spellEnd"/>
      <w:r w:rsidRPr="00B21BAF">
        <w:rPr>
          <w:sz w:val="22"/>
          <w:szCs w:val="22"/>
        </w:rPr>
        <w:t xml:space="preserve"> </w:t>
      </w:r>
      <w:proofErr w:type="spellStart"/>
      <w:r w:rsidRPr="00B21BAF">
        <w:rPr>
          <w:sz w:val="22"/>
          <w:szCs w:val="22"/>
        </w:rPr>
        <w:t>laut</w:t>
      </w:r>
      <w:proofErr w:type="spellEnd"/>
      <w:r w:rsidRPr="00B21BAF">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aktivitas</w:t>
      </w:r>
      <w:proofErr w:type="spellEnd"/>
      <w:r>
        <w:rPr>
          <w:sz w:val="22"/>
          <w:szCs w:val="22"/>
        </w:rPr>
        <w:t xml:space="preserve"> </w:t>
      </w:r>
      <w:proofErr w:type="spellStart"/>
      <w:r>
        <w:rPr>
          <w:sz w:val="22"/>
          <w:szCs w:val="22"/>
        </w:rPr>
        <w:t>kunci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reseptor-resept</w:t>
      </w:r>
      <w:r w:rsidR="008303AB">
        <w:rPr>
          <w:sz w:val="22"/>
          <w:szCs w:val="22"/>
        </w:rPr>
        <w:t>ir</w:t>
      </w:r>
      <w:proofErr w:type="spellEnd"/>
      <w:r>
        <w:rPr>
          <w:sz w:val="22"/>
          <w:szCs w:val="22"/>
        </w:rPr>
        <w:t xml:space="preserve"> diabetes, </w:t>
      </w:r>
      <w:r w:rsidRPr="00B21BAF">
        <w:rPr>
          <w:sz w:val="22"/>
          <w:szCs w:val="22"/>
        </w:rPr>
        <w:t xml:space="preserve">yang </w:t>
      </w:r>
      <w:proofErr w:type="spellStart"/>
      <w:r w:rsidRPr="00B21BAF">
        <w:rPr>
          <w:sz w:val="22"/>
          <w:szCs w:val="22"/>
        </w:rPr>
        <w:t>mengarah</w:t>
      </w:r>
      <w:proofErr w:type="spellEnd"/>
      <w:r w:rsidRPr="00B21BAF">
        <w:rPr>
          <w:sz w:val="22"/>
          <w:szCs w:val="22"/>
        </w:rPr>
        <w:t xml:space="preserve"> pada </w:t>
      </w:r>
      <w:proofErr w:type="spellStart"/>
      <w:r w:rsidRPr="00B21BAF">
        <w:rPr>
          <w:sz w:val="22"/>
          <w:szCs w:val="22"/>
        </w:rPr>
        <w:t>pencarian</w:t>
      </w:r>
      <w:proofErr w:type="spellEnd"/>
      <w:r w:rsidRPr="00B21BAF">
        <w:rPr>
          <w:sz w:val="22"/>
          <w:szCs w:val="22"/>
        </w:rPr>
        <w:t xml:space="preserve"> </w:t>
      </w:r>
      <w:proofErr w:type="spellStart"/>
      <w:r w:rsidRPr="00B21BAF">
        <w:rPr>
          <w:sz w:val="22"/>
          <w:szCs w:val="22"/>
        </w:rPr>
        <w:t>lebih</w:t>
      </w:r>
      <w:proofErr w:type="spellEnd"/>
      <w:r w:rsidRPr="00B21BAF">
        <w:rPr>
          <w:sz w:val="22"/>
          <w:szCs w:val="22"/>
        </w:rPr>
        <w:t xml:space="preserve"> </w:t>
      </w:r>
      <w:proofErr w:type="spellStart"/>
      <w:r w:rsidRPr="00B21BAF">
        <w:rPr>
          <w:sz w:val="22"/>
          <w:szCs w:val="22"/>
        </w:rPr>
        <w:t>lanjut</w:t>
      </w:r>
      <w:proofErr w:type="spellEnd"/>
      <w:r w:rsidRPr="00B21BAF">
        <w:rPr>
          <w:sz w:val="22"/>
          <w:szCs w:val="22"/>
        </w:rPr>
        <w:t xml:space="preserve"> </w:t>
      </w:r>
      <w:proofErr w:type="spellStart"/>
      <w:r w:rsidRPr="00B21BAF">
        <w:rPr>
          <w:sz w:val="22"/>
          <w:szCs w:val="22"/>
        </w:rPr>
        <w:t>terhadap</w:t>
      </w:r>
      <w:proofErr w:type="spellEnd"/>
      <w:r w:rsidRPr="00B21BAF">
        <w:rPr>
          <w:sz w:val="22"/>
          <w:szCs w:val="22"/>
        </w:rPr>
        <w:t xml:space="preserve"> </w:t>
      </w:r>
      <w:proofErr w:type="spellStart"/>
      <w:r w:rsidRPr="00B21BAF">
        <w:rPr>
          <w:sz w:val="22"/>
          <w:szCs w:val="22"/>
        </w:rPr>
        <w:t>senyawa-senyawa</w:t>
      </w:r>
      <w:proofErr w:type="spellEnd"/>
      <w:r w:rsidRPr="00B21BAF">
        <w:rPr>
          <w:sz w:val="22"/>
          <w:szCs w:val="22"/>
        </w:rPr>
        <w:t xml:space="preserve"> </w:t>
      </w:r>
      <w:proofErr w:type="spellStart"/>
      <w:r w:rsidRPr="00B21BAF">
        <w:rPr>
          <w:sz w:val="22"/>
          <w:szCs w:val="22"/>
        </w:rPr>
        <w:t>dengan</w:t>
      </w:r>
      <w:proofErr w:type="spellEnd"/>
      <w:r w:rsidRPr="00B21BAF">
        <w:rPr>
          <w:sz w:val="22"/>
          <w:szCs w:val="22"/>
        </w:rPr>
        <w:t xml:space="preserve"> </w:t>
      </w:r>
      <w:proofErr w:type="spellStart"/>
      <w:r w:rsidRPr="00B21BAF">
        <w:rPr>
          <w:sz w:val="22"/>
          <w:szCs w:val="22"/>
        </w:rPr>
        <w:t>aktivitas</w:t>
      </w:r>
      <w:proofErr w:type="spellEnd"/>
      <w:r w:rsidRPr="00B21BAF">
        <w:rPr>
          <w:sz w:val="22"/>
          <w:szCs w:val="22"/>
        </w:rPr>
        <w:t xml:space="preserve"> </w:t>
      </w:r>
      <w:proofErr w:type="spellStart"/>
      <w:r w:rsidRPr="00B21BAF">
        <w:rPr>
          <w:sz w:val="22"/>
          <w:szCs w:val="22"/>
        </w:rPr>
        <w:t>penghambatan</w:t>
      </w:r>
      <w:proofErr w:type="spellEnd"/>
      <w:r w:rsidRPr="00B21BAF">
        <w:rPr>
          <w:sz w:val="22"/>
          <w:szCs w:val="22"/>
        </w:rPr>
        <w:t xml:space="preserve"> </w:t>
      </w:r>
      <w:proofErr w:type="spellStart"/>
      <w:r w:rsidRPr="00B21BAF">
        <w:rPr>
          <w:sz w:val="22"/>
          <w:szCs w:val="22"/>
        </w:rPr>
        <w:t>terhadap</w:t>
      </w:r>
      <w:proofErr w:type="spellEnd"/>
      <w:r w:rsidRPr="00B21BAF">
        <w:rPr>
          <w:sz w:val="22"/>
          <w:szCs w:val="22"/>
        </w:rPr>
        <w:t xml:space="preserve"> protein </w:t>
      </w:r>
      <w:proofErr w:type="spellStart"/>
      <w:r w:rsidRPr="00B21BAF">
        <w:rPr>
          <w:sz w:val="22"/>
          <w:szCs w:val="22"/>
        </w:rPr>
        <w:t>penting</w:t>
      </w:r>
      <w:proofErr w:type="spellEnd"/>
      <w:r w:rsidRPr="00B21BAF">
        <w:rPr>
          <w:sz w:val="22"/>
          <w:szCs w:val="22"/>
        </w:rPr>
        <w:t xml:space="preserve"> </w:t>
      </w:r>
      <w:proofErr w:type="spellStart"/>
      <w:r w:rsidRPr="00B21BAF">
        <w:rPr>
          <w:sz w:val="22"/>
          <w:szCs w:val="22"/>
        </w:rPr>
        <w:t>lainnya</w:t>
      </w:r>
      <w:proofErr w:type="spellEnd"/>
      <w:r w:rsidRPr="00B21BAF">
        <w:rPr>
          <w:sz w:val="22"/>
          <w:szCs w:val="22"/>
        </w:rPr>
        <w:t xml:space="preserve">, </w:t>
      </w:r>
      <w:proofErr w:type="spellStart"/>
      <w:r w:rsidRPr="00B21BAF">
        <w:rPr>
          <w:sz w:val="22"/>
          <w:szCs w:val="22"/>
        </w:rPr>
        <w:t>termasuk</w:t>
      </w:r>
      <w:proofErr w:type="spellEnd"/>
      <w:r w:rsidRPr="00B21BAF">
        <w:rPr>
          <w:sz w:val="22"/>
          <w:szCs w:val="22"/>
        </w:rPr>
        <w:t xml:space="preserve"> SGLT-2</w:t>
      </w:r>
      <w:r w:rsidR="008303AB">
        <w:rPr>
          <w:sz w:val="22"/>
          <w:szCs w:val="22"/>
        </w:rPr>
        <w:t xml:space="preserve"> </w:t>
      </w:r>
      <w:r w:rsidR="008303AB">
        <w:rPr>
          <w:sz w:val="22"/>
          <w:szCs w:val="22"/>
        </w:rPr>
        <w:fldChar w:fldCharType="begin" w:fldLock="1"/>
      </w:r>
      <w:r w:rsidR="008303AB">
        <w:rPr>
          <w:sz w:val="22"/>
          <w:szCs w:val="22"/>
        </w:rPr>
        <w:instrText>ADDIN CSL_CITATION {"citationItems":[{"id":"ITEM-1","itemData":{"DOI":"10.3390/pharmaceutics15092321","ISSN":"19994923","abstract":"Background: Type 2 diabetes mellitus (T2DM) is an ongoing, risky, and costly health problem that therefore always requires new treatment options. Moreover, although several drugs are available, only 36% of patients achieve glycaemic control, and patient adherence is a major obstacle. With monotherapy, T2DM and its comorbidities/complications often cannot be managed, and the concurrent administration of several hypoglycaemic drugs is required, which increases the risk of side effects. In fact, despite the efficacy of the drugs currently on the market, they generally come with serious side effects. Therefore, scientific research must always be active in the discovery of new therapeutic agents. Discussion: The present review highlights some of the recent discoveries regarding marine natural products that can modulate the various targets that have been identified as crucial in the establishment of T2DM disease and its complications, with a focus on the compounds isolated from marine invertebrates. The activities of these metabolites are illustrated and discussed. Objectives. The paper aims to capture the relevant evidence of the great chemical diversity of marine natural products as a key tool that can advance understanding in the T2DM research field, as well as in antidiabetic drug discovery. The variety of chemical scaffolds highlighted by the natural hits provides not only a source of chemical probes for the study of specific targets involved in the onset of T2DM, but is also a helpful tool for the development of drugs that are capable of acting via novel mechanisms. Thus, it lays the foundation for the design of multiple ligands that can overcome the drawbacks of polypharmacology.","author":[{"dropping-particle":"","family":"Casertano","given":"Marcello","non-dropping-particle":"","parse-names":false,"suffix":""},{"dropping-particle":"","family":"Vito","given":"Alessio","non-dropping-particle":"","parse-names":false,"suffix":""},{"dropping-particle":"","family":"Aiello","given":"Anna","non-dropping-particle":"","parse-names":false,"suffix":""},{"dropping-particle":"","family":"Imperatore","given":"Concetta","non-dropping-particle":"","parse-names":false,"suffix":""},{"dropping-particle":"","family":"Menna","given":"Marialuisa","non-dropping-particle":"","parse-names":false,"suffix":""}],"container-title":"Pharmaceutics","id":"ITEM-1","issue":"9","issued":{"date-parts":[["2023"]]},"title":"Natural Bioactive Compounds from Marine Invertebrates That Modulate Key Targets Implicated in the Onset of Type 2 Diabetes Mellitus (T2DM) and Its Complications","type":"article-journal","volume":"15"},"uris":["http://www.mendeley.com/documents/?uuid=05872877-3c3d-4799-a51d-e5afeb8b3054"]},{"id":"ITEM-2","itemData":{"DOI":"10.1007/s13659-023-00403-1","ISSN":"21922209","abstract":"The archipelagic country of Indonesia is populated by the densest marine biodiversity in the world which has created strong global interest and is valued by both Indigenous and European settlements for different purposes. Nearly 1000 chemicals have been extracted and identified. In this review, a systematic data curation was employed to collate bioprospecting related manuscripts providing a comprehensive directory based on publications from 1988 to 2022. Findings with significant pharmacological activities are further discussed through a scoping data collection. This review discusses macroorganisms (Sponges, Ascidian, Gorgonians, Algae, Mangrove) and microorganism (Bacteria and Fungi) and highlights significant discoveries, including a potent microtubule stabilizer laulimalide from Hyattella sp., a prospective doxorubicin complement papuamine alkaloid from Neopetrosia cf exigua, potent antiplasmodial manzamine A from Acanthostrongylophora ingens, the highly potent anti trypanosomal manadoperoxide B from Plakortis cfr. Simplex, mRNA translation disrupter hippuristanol from Briareum sp, and the anti-HIV-1 (+)-8-hydroxymanzamine A isolated from Acanthostrongylophora sp. Further, some potent antibacterial extracts were also found from a limited biomass of bacteria cultures. Although there are currently no examples of commercial drugs from the Indonesian marine environment, this review shows the molecular diversity present and with the known understudied biodiversity, reveals great promise for future studies and outcomes. Graphical Abstract: [Figure not available: see fulltext.]","author":[{"dropping-particle":"","family":"Nugraha","given":"Ari Satia","non-dropping-particle":"","parse-names":false,"suffix":""},{"dropping-particle":"","family":"Firli","given":"Lilla Nur","non-dropping-particle":"","parse-names":false,"suffix":""},{"dropping-particle":"","family":"Rani","given":"Dinar Mutia","non-dropping-particle":"","parse-names":false,"suffix":""},{"dropping-particle":"","family":"Hidayatiningsih","given":"Ayunda","non-dropping-particle":"","parse-names":false,"suffix":""},{"dropping-particle":"","family":"Lestari","given":"Nadya Dini","non-dropping-particle":"","parse-names":false,"suffix":""},{"dropping-particle":"","family":"Wongso","given":"Hendris","non-dropping-particle":"","parse-names":false,"suffix":""},{"dropping-particle":"","family":"Tarman","given":"Kustiariyah","non-dropping-particle":"","parse-names":false,"suffix":""},{"dropping-particle":"","family":"Rahaweman","given":"Ayu Christien","non-dropping-particle":"","parse-names":false,"suffix":""},{"dropping-particle":"","family":"Manurung","given":"Jeprianto","non-dropping-particle":"","parse-names":false,"suffix":""},{"dropping-particle":"","family":"Ariantari","given":"Ni Putu","non-dropping-particle":"","parse-names":false,"suffix":""},{"dropping-particle":"","family":"Papu","given":"Adelfia","non-dropping-particle":"","parse-names":false,"suffix":""},{"dropping-particle":"","family":"Putra","given":"Masteria Yunovilsa","non-dropping-particle":"","parse-names":false,"suffix":""},{"dropping-particle":"","family":"Pratama","given":"Antonius Nugraha Widhi","non-dropping-particle":"","parse-names":false,"suffix":""},{"dropping-particle":"","family":"Wessjohann","given":"Ludger A.","non-dropping-particle":"","parse-names":false,"suffix":""},{"dropping-particle":"","family":"Keller","given":"Paul A.","non-dropping-particle":"","parse-names":false,"suffix":""}],"container-title":"Natural Products and Bioprospecting","id":"ITEM-2","issue":"1","issued":{"date-parts":[["2023"]]},"page":"1-27","publisher":"Springer Nature Singapore","title":"Indonesian marine and its medicinal contribution","type":"article-journal","volume":"13"},"uris":["http://www.mendeley.com/documents/?uuid=6e23a4a3-bf8c-47fc-9fb6-6a628a6655c3"]}],"mendeley":{"formattedCitation":"(Casertano et al., 2023; Nugraha et al., 2023)","plainTextFormattedCitation":"(Casertano et al., 2023; Nugraha et al., 2023)","previouslyFormattedCitation":"(Casertano et al., 2023; Nugraha et al., 2023)"},"properties":{"noteIndex":0},"schema":"https://github.com/citation-style-language/schema/raw/master/csl-citation.json"}</w:instrText>
      </w:r>
      <w:r w:rsidR="008303AB">
        <w:rPr>
          <w:sz w:val="22"/>
          <w:szCs w:val="22"/>
        </w:rPr>
        <w:fldChar w:fldCharType="separate"/>
      </w:r>
      <w:r w:rsidR="008303AB" w:rsidRPr="008303AB">
        <w:rPr>
          <w:noProof/>
          <w:sz w:val="22"/>
          <w:szCs w:val="22"/>
        </w:rPr>
        <w:t>(Casertano et al., 2023; Nugraha et al., 2023)</w:t>
      </w:r>
      <w:r w:rsidR="008303AB">
        <w:rPr>
          <w:sz w:val="22"/>
          <w:szCs w:val="22"/>
        </w:rPr>
        <w:fldChar w:fldCharType="end"/>
      </w:r>
      <w:r w:rsidRPr="00B21BAF">
        <w:rPr>
          <w:sz w:val="22"/>
          <w:szCs w:val="22"/>
        </w:rPr>
        <w:t>.</w:t>
      </w:r>
    </w:p>
    <w:p w14:paraId="6C416368" w14:textId="77777777" w:rsidR="00B21BAF" w:rsidRDefault="00B21BAF" w:rsidP="00B21BAF">
      <w:pPr>
        <w:spacing w:line="360" w:lineRule="auto"/>
        <w:ind w:firstLine="284"/>
        <w:jc w:val="both"/>
        <w:rPr>
          <w:sz w:val="22"/>
          <w:szCs w:val="22"/>
        </w:rPr>
      </w:pPr>
      <w:proofErr w:type="spellStart"/>
      <w:r w:rsidRPr="00B21BAF">
        <w:rPr>
          <w:sz w:val="22"/>
          <w:szCs w:val="22"/>
        </w:rPr>
        <w:t>Ircinianin</w:t>
      </w:r>
      <w:proofErr w:type="spellEnd"/>
      <w:r w:rsidRPr="00B21BAF">
        <w:rPr>
          <w:sz w:val="22"/>
          <w:szCs w:val="22"/>
        </w:rPr>
        <w:t xml:space="preserve"> </w:t>
      </w:r>
      <w:proofErr w:type="spellStart"/>
      <w:r w:rsidRPr="00B21BAF">
        <w:rPr>
          <w:sz w:val="22"/>
          <w:szCs w:val="22"/>
        </w:rPr>
        <w:t>adalah</w:t>
      </w:r>
      <w:proofErr w:type="spellEnd"/>
      <w:r w:rsidRPr="00B21BAF">
        <w:rPr>
          <w:sz w:val="22"/>
          <w:szCs w:val="22"/>
        </w:rPr>
        <w:t xml:space="preserve"> </w:t>
      </w:r>
      <w:proofErr w:type="spellStart"/>
      <w:r w:rsidRPr="00B21BAF">
        <w:rPr>
          <w:sz w:val="22"/>
          <w:szCs w:val="22"/>
        </w:rPr>
        <w:t>senyawa</w:t>
      </w:r>
      <w:proofErr w:type="spellEnd"/>
      <w:r w:rsidRPr="00B21BAF">
        <w:rPr>
          <w:sz w:val="22"/>
          <w:szCs w:val="22"/>
        </w:rPr>
        <w:t xml:space="preserve"> </w:t>
      </w:r>
      <w:proofErr w:type="spellStart"/>
      <w:r w:rsidRPr="00B21BAF">
        <w:rPr>
          <w:sz w:val="22"/>
          <w:szCs w:val="22"/>
        </w:rPr>
        <w:t>alami</w:t>
      </w:r>
      <w:proofErr w:type="spellEnd"/>
      <w:r w:rsidRPr="00B21BAF">
        <w:rPr>
          <w:sz w:val="22"/>
          <w:szCs w:val="22"/>
        </w:rPr>
        <w:t xml:space="preserve"> yang </w:t>
      </w:r>
      <w:proofErr w:type="spellStart"/>
      <w:r w:rsidRPr="00B21BAF">
        <w:rPr>
          <w:sz w:val="22"/>
          <w:szCs w:val="22"/>
        </w:rPr>
        <w:t>termasuk</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golongan</w:t>
      </w:r>
      <w:proofErr w:type="spellEnd"/>
      <w:r w:rsidRPr="00B21BAF">
        <w:rPr>
          <w:sz w:val="22"/>
          <w:szCs w:val="22"/>
        </w:rPr>
        <w:t xml:space="preserve"> alkaloid dan </w:t>
      </w:r>
      <w:proofErr w:type="spellStart"/>
      <w:r w:rsidRPr="00B21BAF">
        <w:rPr>
          <w:sz w:val="22"/>
          <w:szCs w:val="22"/>
        </w:rPr>
        <w:t>ditemukan</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spons</w:t>
      </w:r>
      <w:proofErr w:type="spellEnd"/>
      <w:r w:rsidRPr="00B21BAF">
        <w:rPr>
          <w:sz w:val="22"/>
          <w:szCs w:val="22"/>
        </w:rPr>
        <w:t xml:space="preserve"> </w:t>
      </w:r>
      <w:proofErr w:type="spellStart"/>
      <w:r w:rsidRPr="00B21BAF">
        <w:rPr>
          <w:sz w:val="22"/>
          <w:szCs w:val="22"/>
        </w:rPr>
        <w:t>laut</w:t>
      </w:r>
      <w:proofErr w:type="spellEnd"/>
      <w:r w:rsidRPr="00B21BAF">
        <w:rPr>
          <w:sz w:val="22"/>
          <w:szCs w:val="22"/>
        </w:rPr>
        <w:t xml:space="preserve"> </w:t>
      </w:r>
      <w:proofErr w:type="spellStart"/>
      <w:r w:rsidRPr="00B21BAF">
        <w:rPr>
          <w:sz w:val="22"/>
          <w:szCs w:val="22"/>
        </w:rPr>
        <w:t>dari</w:t>
      </w:r>
      <w:proofErr w:type="spellEnd"/>
      <w:r w:rsidRPr="00B21BAF">
        <w:rPr>
          <w:sz w:val="22"/>
          <w:szCs w:val="22"/>
        </w:rPr>
        <w:t xml:space="preserve"> genus </w:t>
      </w:r>
      <w:proofErr w:type="spellStart"/>
      <w:r w:rsidRPr="00B21BAF">
        <w:rPr>
          <w:sz w:val="22"/>
          <w:szCs w:val="22"/>
        </w:rPr>
        <w:t>Ircinia</w:t>
      </w:r>
      <w:proofErr w:type="spellEnd"/>
      <w:r w:rsidRPr="00B21BAF">
        <w:rPr>
          <w:sz w:val="22"/>
          <w:szCs w:val="22"/>
        </w:rPr>
        <w:t xml:space="preserve">. Senyawa </w:t>
      </w:r>
      <w:proofErr w:type="spellStart"/>
      <w:r w:rsidRPr="00B21BAF">
        <w:rPr>
          <w:sz w:val="22"/>
          <w:szCs w:val="22"/>
        </w:rPr>
        <w:t>ini</w:t>
      </w:r>
      <w:proofErr w:type="spellEnd"/>
      <w:r w:rsidRPr="00B21BAF">
        <w:rPr>
          <w:sz w:val="22"/>
          <w:szCs w:val="22"/>
        </w:rPr>
        <w:t xml:space="preserve"> </w:t>
      </w:r>
      <w:proofErr w:type="spellStart"/>
      <w:r w:rsidRPr="00B21BAF">
        <w:rPr>
          <w:sz w:val="22"/>
          <w:szCs w:val="22"/>
        </w:rPr>
        <w:t>memiliki</w:t>
      </w:r>
      <w:proofErr w:type="spellEnd"/>
      <w:r w:rsidRPr="00B21BAF">
        <w:rPr>
          <w:sz w:val="22"/>
          <w:szCs w:val="22"/>
        </w:rPr>
        <w:t xml:space="preserve"> </w:t>
      </w:r>
      <w:proofErr w:type="spellStart"/>
      <w:r w:rsidRPr="00B21BAF">
        <w:rPr>
          <w:sz w:val="22"/>
          <w:szCs w:val="22"/>
        </w:rPr>
        <w:t>struktur</w:t>
      </w:r>
      <w:proofErr w:type="spellEnd"/>
      <w:r w:rsidRPr="00B21BAF">
        <w:rPr>
          <w:sz w:val="22"/>
          <w:szCs w:val="22"/>
        </w:rPr>
        <w:t xml:space="preserve"> </w:t>
      </w:r>
      <w:proofErr w:type="spellStart"/>
      <w:r w:rsidRPr="00B21BAF">
        <w:rPr>
          <w:sz w:val="22"/>
          <w:szCs w:val="22"/>
        </w:rPr>
        <w:t>kimia</w:t>
      </w:r>
      <w:proofErr w:type="spellEnd"/>
      <w:r w:rsidRPr="00B21BAF">
        <w:rPr>
          <w:sz w:val="22"/>
          <w:szCs w:val="22"/>
        </w:rPr>
        <w:t xml:space="preserve"> yang </w:t>
      </w:r>
      <w:proofErr w:type="spellStart"/>
      <w:r w:rsidRPr="00B21BAF">
        <w:rPr>
          <w:sz w:val="22"/>
          <w:szCs w:val="22"/>
        </w:rPr>
        <w:t>kompleks</w:t>
      </w:r>
      <w:proofErr w:type="spellEnd"/>
      <w:r w:rsidRPr="00B21BAF">
        <w:rPr>
          <w:sz w:val="22"/>
          <w:szCs w:val="22"/>
        </w:rPr>
        <w:t xml:space="preserve"> dan </w:t>
      </w:r>
      <w:proofErr w:type="spellStart"/>
      <w:r w:rsidRPr="00B21BAF">
        <w:rPr>
          <w:sz w:val="22"/>
          <w:szCs w:val="22"/>
        </w:rPr>
        <w:t>menarik</w:t>
      </w:r>
      <w:proofErr w:type="spellEnd"/>
      <w:r w:rsidRPr="00B21BAF">
        <w:rPr>
          <w:sz w:val="22"/>
          <w:szCs w:val="22"/>
        </w:rPr>
        <w:t xml:space="preserve"> </w:t>
      </w:r>
      <w:proofErr w:type="spellStart"/>
      <w:r w:rsidRPr="00B21BAF">
        <w:rPr>
          <w:sz w:val="22"/>
          <w:szCs w:val="22"/>
        </w:rPr>
        <w:t>perhatian</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penelitian</w:t>
      </w:r>
      <w:proofErr w:type="spellEnd"/>
      <w:r w:rsidRPr="00B21BAF">
        <w:rPr>
          <w:sz w:val="22"/>
          <w:szCs w:val="22"/>
        </w:rPr>
        <w:t xml:space="preserve"> </w:t>
      </w:r>
      <w:proofErr w:type="spellStart"/>
      <w:r w:rsidRPr="00B21BAF">
        <w:rPr>
          <w:sz w:val="22"/>
          <w:szCs w:val="22"/>
        </w:rPr>
        <w:t>karena</w:t>
      </w:r>
      <w:proofErr w:type="spellEnd"/>
      <w:r w:rsidRPr="00B21BAF">
        <w:rPr>
          <w:sz w:val="22"/>
          <w:szCs w:val="22"/>
        </w:rPr>
        <w:t xml:space="preserve"> </w:t>
      </w:r>
      <w:proofErr w:type="spellStart"/>
      <w:r w:rsidRPr="00B21BAF">
        <w:rPr>
          <w:sz w:val="22"/>
          <w:szCs w:val="22"/>
        </w:rPr>
        <w:t>potensi</w:t>
      </w:r>
      <w:proofErr w:type="spellEnd"/>
      <w:r w:rsidRPr="00B21BAF">
        <w:rPr>
          <w:sz w:val="22"/>
          <w:szCs w:val="22"/>
        </w:rPr>
        <w:t xml:space="preserve"> </w:t>
      </w:r>
      <w:proofErr w:type="spellStart"/>
      <w:r w:rsidRPr="00B21BAF">
        <w:rPr>
          <w:sz w:val="22"/>
          <w:szCs w:val="22"/>
        </w:rPr>
        <w:t>aktivitas</w:t>
      </w:r>
      <w:proofErr w:type="spellEnd"/>
      <w:r w:rsidRPr="00B21BAF">
        <w:rPr>
          <w:sz w:val="22"/>
          <w:szCs w:val="22"/>
        </w:rPr>
        <w:t xml:space="preserve"> </w:t>
      </w:r>
      <w:proofErr w:type="spellStart"/>
      <w:r w:rsidRPr="00B21BAF">
        <w:rPr>
          <w:sz w:val="22"/>
          <w:szCs w:val="22"/>
        </w:rPr>
        <w:t>biologisnya</w:t>
      </w:r>
      <w:proofErr w:type="spellEnd"/>
      <w:r>
        <w:rPr>
          <w:sz w:val="22"/>
          <w:szCs w:val="22"/>
        </w:rPr>
        <w:t xml:space="preserve">. </w:t>
      </w:r>
      <w:r w:rsidRPr="00B21BAF">
        <w:rPr>
          <w:sz w:val="22"/>
          <w:szCs w:val="22"/>
        </w:rPr>
        <w:t xml:space="preserve">Karena </w:t>
      </w:r>
      <w:proofErr w:type="spellStart"/>
      <w:r w:rsidRPr="00B21BAF">
        <w:rPr>
          <w:sz w:val="22"/>
          <w:szCs w:val="22"/>
        </w:rPr>
        <w:t>potensi</w:t>
      </w:r>
      <w:proofErr w:type="spellEnd"/>
      <w:r w:rsidRPr="00B21BAF">
        <w:rPr>
          <w:sz w:val="22"/>
          <w:szCs w:val="22"/>
        </w:rPr>
        <w:t xml:space="preserve"> </w:t>
      </w:r>
      <w:proofErr w:type="spellStart"/>
      <w:r w:rsidRPr="00B21BAF">
        <w:rPr>
          <w:sz w:val="22"/>
          <w:szCs w:val="22"/>
        </w:rPr>
        <w:t>aktivitas</w:t>
      </w:r>
      <w:proofErr w:type="spellEnd"/>
      <w:r w:rsidRPr="00B21BAF">
        <w:rPr>
          <w:sz w:val="22"/>
          <w:szCs w:val="22"/>
        </w:rPr>
        <w:t xml:space="preserve"> </w:t>
      </w:r>
      <w:proofErr w:type="spellStart"/>
      <w:r w:rsidRPr="00B21BAF">
        <w:rPr>
          <w:sz w:val="22"/>
          <w:szCs w:val="22"/>
        </w:rPr>
        <w:t>biologisnya</w:t>
      </w:r>
      <w:proofErr w:type="spellEnd"/>
      <w:r w:rsidRPr="00B21BAF">
        <w:rPr>
          <w:sz w:val="22"/>
          <w:szCs w:val="22"/>
        </w:rPr>
        <w:t xml:space="preserve">, </w:t>
      </w:r>
      <w:proofErr w:type="spellStart"/>
      <w:r w:rsidRPr="00B21BAF">
        <w:rPr>
          <w:sz w:val="22"/>
          <w:szCs w:val="22"/>
        </w:rPr>
        <w:t>termasuk</w:t>
      </w:r>
      <w:proofErr w:type="spellEnd"/>
      <w:r w:rsidRPr="00B21BAF">
        <w:rPr>
          <w:sz w:val="22"/>
          <w:szCs w:val="22"/>
        </w:rPr>
        <w:t xml:space="preserve"> </w:t>
      </w:r>
      <w:proofErr w:type="spellStart"/>
      <w:r w:rsidRPr="00B21BAF">
        <w:rPr>
          <w:sz w:val="22"/>
          <w:szCs w:val="22"/>
        </w:rPr>
        <w:t>efek</w:t>
      </w:r>
      <w:proofErr w:type="spellEnd"/>
      <w:r w:rsidRPr="00B21BAF">
        <w:rPr>
          <w:sz w:val="22"/>
          <w:szCs w:val="22"/>
        </w:rPr>
        <w:t xml:space="preserve"> </w:t>
      </w:r>
      <w:proofErr w:type="spellStart"/>
      <w:r w:rsidRPr="00B21BAF">
        <w:rPr>
          <w:sz w:val="22"/>
          <w:szCs w:val="22"/>
        </w:rPr>
        <w:t>antidiabetes</w:t>
      </w:r>
      <w:proofErr w:type="spellEnd"/>
      <w:r w:rsidRPr="00B21BAF">
        <w:rPr>
          <w:sz w:val="22"/>
          <w:szCs w:val="22"/>
        </w:rPr>
        <w:t xml:space="preserve"> dan </w:t>
      </w:r>
      <w:proofErr w:type="spellStart"/>
      <w:r w:rsidRPr="00B21BAF">
        <w:rPr>
          <w:sz w:val="22"/>
          <w:szCs w:val="22"/>
        </w:rPr>
        <w:t>antimikroba</w:t>
      </w:r>
      <w:proofErr w:type="spellEnd"/>
      <w:r w:rsidR="008303AB">
        <w:rPr>
          <w:sz w:val="22"/>
          <w:szCs w:val="22"/>
        </w:rPr>
        <w:t xml:space="preserve"> </w:t>
      </w:r>
      <w:r w:rsidR="008303AB">
        <w:rPr>
          <w:sz w:val="22"/>
          <w:szCs w:val="22"/>
        </w:rPr>
        <w:fldChar w:fldCharType="begin" w:fldLock="1"/>
      </w:r>
      <w:r w:rsidR="00F90D94">
        <w:rPr>
          <w:sz w:val="22"/>
          <w:szCs w:val="22"/>
        </w:rPr>
        <w:instrText>ADDIN CSL_CITATION {"citationItems":[{"id":"ITEM-1","itemData":{"DOI":"10.1039/c3ob40861b","ISSN":"1477-0539 (Electronic)","PMID":"23760172","abstract":"Bioassay guided fractionation of three southern Australian marine sponges of the  genus Psammocinia, selected for their ability to modulate glycine-gated chloride channel receptors (GlyRs), yielded the rare marine sesterterpenes (-)-ircinianin (1) and (-)-ircinianin sulfate (2), along with the new biosynthetically related metabolites (-)-ircinianin lactam A (3), (-)-ircinianin lactam A sulfate (4), (-)-oxoircinianin (5), (-)-oxoircinianin lactam A (6) and (-)-ircinianin lactone A (7). Acetylation of 1 returned (-)-ircinianin acetate (8). Whole cell patch-clamp electrophysiology on 1-8 established 3 as an exceptionally potent and selective α3 GlyR potentiator, and 6 as a selective α1 GlyR potentiator. The discovery and characterization of sesterterpenes 1-8, and in particular the glycinyl-lactams 3 and 6, provide valuable new insights into GlyR pharmacology. These insights have the potential to inform and inspire the development of new molecular tools to probe GlyR distribution and function, and therapeutics to treat a wide array of GlyR mediated diseases and disorders.","author":[{"dropping-particle":"","family":"Balansa","given":"Walter","non-dropping-particle":"","parse-names":false,"suffix":""},{"dropping-particle":"","family":"Islam","given":"Robiul","non-dropping-particle":"","parse-names":false,"suffix":""},{"dropping-particle":"","family":"Fontaine","given":"Frank","non-dropping-particle":"","parse-names":false,"suffix":""},{"dropping-particle":"","family":"Piggott","given":"Andrew M","non-dropping-particle":"","parse-names":false,"suffix":""},{"dropping-particle":"","family":"Zhang","given":"Hua","non-dropping-particle":"","parse-names":false,"suffix":""},{"dropping-particle":"","family":"Xiao","given":"Xue","non-dropping-particle":"","parse-names":false,"suffix":""},{"dropping-particle":"","family":"Webb","given":"Timothy I","non-dropping-particle":"","parse-names":false,"suffix":""},{"dropping-particle":"","family":"Gilbert","given":"Daniel F","non-dropping-particle":"","parse-names":false,"suffix":""},{"dropping-particle":"","family":"Lynch","given":"Joseph W","non-dropping-particle":"","parse-names":false,"suffix":""},{"dropping-particle":"","family":"Capon","given":"Robert J","non-dropping-particle":"","parse-names":false,"suffix":""}],"container-title":"Organic &amp; biomolecular chemistry","id":"ITEM-1","issue":"28","issued":{"date-parts":[["2013","7"]]},"language":"eng","page":"4695-4701","publisher-place":"England","title":"Sesterterpene glycinyl-lactams: a new class of glycine receptor modulator from  Australian marine sponges of the genus Psammocinia.","type":"article-journal","volume":"11"},"uris":["http://www.mendeley.com/documents/?uuid=b1ac253f-94f0-4e46-9624-ec2a8c4c9380"]},{"id":"ITEM-2","itemData":{"DOI":"10.3390/md20080532","ISSN":"1660-3397 (Electronic)","PMID":"36005535","abstract":"Two new ircinianin-type sesterterpenoids, ircinianin lactone B and ircinianin  lactone C (7 and 8), together with five known entities from the ircinianin compound family (1, 3-6) were isolated from the marine sponge Ircinia wistarii. Ircinianin lactones B and C (7 and 8) represent new ircinianin terpenoids with a modified oxidation pattern. Despite their labile nature, the structures could be established using a combination of spectroscopic data, including HRESIMS and 1D/2D NMR techniques, as well as computational chemistry and quantum-mechanical calculations. In a broad screening approach for biological activity, the class-defining compound ircinianin (1) showed moderate antiprotozoal activity against Plasmodium falciparum (IC(50) 25.4 μM) and Leishmania donovani (IC(50) 16.6 μM).","author":[{"dropping-particle":"","family":"Majer","given":"Thomas","non-dropping-particle":"","parse-names":false,"suffix":""},{"dropping-particle":"","family":"Bhattarai","given":"Keshab","non-dropping-particle":"","parse-names":false,"suffix":""},{"dropping-particle":"","family":"Straetener","given":"Jan","non-dropping-particle":"","parse-names":false,"suffix":""},{"dropping-particle":"","family":"Pohlmann","given":"Justus","non-dropping-particle":"","parse-names":false,"suffix":""},{"dropping-particle":"","family":"Cahill","given":"Patrick","non-dropping-particle":"","parse-names":false,"suffix":""},{"dropping-particle":"","family":"Zimmermann","given":"Markus O","non-dropping-particle":"","parse-names":false,"suffix":""},{"dropping-particle":"","family":"Hübner","given":"Marc P","non-dropping-particle":"","parse-names":false,"suffix":""},{"dropping-particle":"","family":"Kaiser","given":"Marcel","non-dropping-particle":"","parse-names":false,"suffix":""},{"dropping-particle":"","family":"Svenson","given":"Johan","non-dropping-particle":"","parse-names":false,"suffix":""},{"dropping-particle":"","family":"Schindler","given":"Michael","non-dropping-particle":"","parse-names":false,"suffix":""},{"dropping-particle":"","family":"Brötz-Oesterhelt","given":"Heike","non-dropping-particle":"","parse-names":false,"suffix":""},{"dropping-particle":"","family":"Boeckler","given":"Frank M","non-dropping-particle":"","parse-names":false,"suffix":""},{"dropping-particle":"","family":"Gross","given":"Harald","non-dropping-particle":"","parse-names":false,"suffix":""}],"container-title":"Marine drugs","id":"ITEM-2","issue":"8","issued":{"date-parts":[["2022","8"]]},"language":"eng","publisher-place":"Switzerland","title":"Discovery of Ircinianin Lactones B and C-Two New Cyclic Sesterterpenes from the  Marine Sponge Ircinia wistarii.","type":"article-journal","volume":"20"},"uris":["http://www.mendeley.com/documents/?uuid=58470fc5-8836-411c-a73e-123e77491976"]}],"mendeley":{"formattedCitation":"(Balansa et al., 2013; Majer et al., 2022)","plainTextFormattedCitation":"(Balansa et al., 2013; Majer et al., 2022)","previouslyFormattedCitation":"(Balansa et al., 2013; Majer et al., 2022)"},"properties":{"noteIndex":0},"schema":"https://github.com/citation-style-language/schema/raw/master/csl-citation.json"}</w:instrText>
      </w:r>
      <w:r w:rsidR="008303AB">
        <w:rPr>
          <w:sz w:val="22"/>
          <w:szCs w:val="22"/>
        </w:rPr>
        <w:fldChar w:fldCharType="separate"/>
      </w:r>
      <w:r w:rsidR="008303AB" w:rsidRPr="008303AB">
        <w:rPr>
          <w:noProof/>
          <w:sz w:val="22"/>
          <w:szCs w:val="22"/>
        </w:rPr>
        <w:t>(Balansa et al., 2013; Majer et al., 2022)</w:t>
      </w:r>
      <w:r w:rsidR="008303AB">
        <w:rPr>
          <w:sz w:val="22"/>
          <w:szCs w:val="22"/>
        </w:rPr>
        <w:fldChar w:fldCharType="end"/>
      </w:r>
      <w:r w:rsidRPr="00B21BAF">
        <w:rPr>
          <w:sz w:val="22"/>
          <w:szCs w:val="22"/>
        </w:rPr>
        <w:t xml:space="preserve">. </w:t>
      </w:r>
      <w:proofErr w:type="spellStart"/>
      <w:r w:rsidRPr="00B21BAF">
        <w:rPr>
          <w:sz w:val="22"/>
          <w:szCs w:val="22"/>
        </w:rPr>
        <w:t>Meskipun</w:t>
      </w:r>
      <w:proofErr w:type="spellEnd"/>
      <w:r w:rsidRPr="00B21BAF">
        <w:rPr>
          <w:sz w:val="22"/>
          <w:szCs w:val="22"/>
        </w:rPr>
        <w:t xml:space="preserve"> </w:t>
      </w:r>
      <w:proofErr w:type="spellStart"/>
      <w:r w:rsidRPr="00B21BAF">
        <w:rPr>
          <w:sz w:val="22"/>
          <w:szCs w:val="22"/>
        </w:rPr>
        <w:t>masih</w:t>
      </w:r>
      <w:proofErr w:type="spellEnd"/>
      <w:r w:rsidRPr="00B21BAF">
        <w:rPr>
          <w:sz w:val="22"/>
          <w:szCs w:val="22"/>
        </w:rPr>
        <w:t xml:space="preserve"> </w:t>
      </w:r>
      <w:proofErr w:type="spellStart"/>
      <w:r w:rsidRPr="00B21BAF">
        <w:rPr>
          <w:sz w:val="22"/>
          <w:szCs w:val="22"/>
        </w:rPr>
        <w:t>diperlukan</w:t>
      </w:r>
      <w:proofErr w:type="spellEnd"/>
      <w:r w:rsidRPr="00B21BAF">
        <w:rPr>
          <w:sz w:val="22"/>
          <w:szCs w:val="22"/>
        </w:rPr>
        <w:t xml:space="preserve"> </w:t>
      </w:r>
      <w:proofErr w:type="spellStart"/>
      <w:r w:rsidRPr="00B21BAF">
        <w:rPr>
          <w:sz w:val="22"/>
          <w:szCs w:val="22"/>
        </w:rPr>
        <w:t>lebih</w:t>
      </w:r>
      <w:proofErr w:type="spellEnd"/>
      <w:r w:rsidRPr="00B21BAF">
        <w:rPr>
          <w:sz w:val="22"/>
          <w:szCs w:val="22"/>
        </w:rPr>
        <w:t xml:space="preserve"> </w:t>
      </w:r>
      <w:proofErr w:type="spellStart"/>
      <w:r w:rsidRPr="00B21BAF">
        <w:rPr>
          <w:sz w:val="22"/>
          <w:szCs w:val="22"/>
        </w:rPr>
        <w:t>banyak</w:t>
      </w:r>
      <w:proofErr w:type="spellEnd"/>
      <w:r w:rsidRPr="00B21BAF">
        <w:rPr>
          <w:sz w:val="22"/>
          <w:szCs w:val="22"/>
        </w:rPr>
        <w:t xml:space="preserve"> </w:t>
      </w:r>
      <w:proofErr w:type="spellStart"/>
      <w:r w:rsidRPr="00B21BAF">
        <w:rPr>
          <w:sz w:val="22"/>
          <w:szCs w:val="22"/>
        </w:rPr>
        <w:t>penelitian</w:t>
      </w:r>
      <w:proofErr w:type="spellEnd"/>
      <w:r w:rsidRPr="00B21BAF">
        <w:rPr>
          <w:sz w:val="22"/>
          <w:szCs w:val="22"/>
        </w:rPr>
        <w:t xml:space="preserve"> </w:t>
      </w:r>
      <w:proofErr w:type="spellStart"/>
      <w:r w:rsidRPr="00B21BAF">
        <w:rPr>
          <w:sz w:val="22"/>
          <w:szCs w:val="22"/>
        </w:rPr>
        <w:t>untuk</w:t>
      </w:r>
      <w:proofErr w:type="spellEnd"/>
      <w:r w:rsidRPr="00B21BAF">
        <w:rPr>
          <w:sz w:val="22"/>
          <w:szCs w:val="22"/>
        </w:rPr>
        <w:t xml:space="preserve"> </w:t>
      </w:r>
      <w:proofErr w:type="spellStart"/>
      <w:r w:rsidRPr="00B21BAF">
        <w:rPr>
          <w:sz w:val="22"/>
          <w:szCs w:val="22"/>
        </w:rPr>
        <w:t>mengeksplorasi</w:t>
      </w:r>
      <w:proofErr w:type="spellEnd"/>
      <w:r w:rsidRPr="00B21BAF">
        <w:rPr>
          <w:sz w:val="22"/>
          <w:szCs w:val="22"/>
        </w:rPr>
        <w:t xml:space="preserve"> </w:t>
      </w:r>
      <w:proofErr w:type="spellStart"/>
      <w:r w:rsidRPr="00B21BAF">
        <w:rPr>
          <w:sz w:val="22"/>
          <w:szCs w:val="22"/>
        </w:rPr>
        <w:t>berbagai</w:t>
      </w:r>
      <w:proofErr w:type="spellEnd"/>
      <w:r w:rsidRPr="00B21BAF">
        <w:rPr>
          <w:sz w:val="22"/>
          <w:szCs w:val="22"/>
        </w:rPr>
        <w:t xml:space="preserve"> </w:t>
      </w:r>
      <w:proofErr w:type="spellStart"/>
      <w:r w:rsidRPr="00B21BAF">
        <w:rPr>
          <w:sz w:val="22"/>
          <w:szCs w:val="22"/>
        </w:rPr>
        <w:t>manfaat</w:t>
      </w:r>
      <w:proofErr w:type="spellEnd"/>
      <w:r w:rsidRPr="00B21BAF">
        <w:rPr>
          <w:sz w:val="22"/>
          <w:szCs w:val="22"/>
        </w:rPr>
        <w:t xml:space="preserve"> </w:t>
      </w:r>
      <w:proofErr w:type="spellStart"/>
      <w:r w:rsidRPr="00B21BAF">
        <w:rPr>
          <w:sz w:val="22"/>
          <w:szCs w:val="22"/>
        </w:rPr>
        <w:t>terapeutiknya</w:t>
      </w:r>
      <w:proofErr w:type="spellEnd"/>
      <w:r w:rsidRPr="00B21BAF">
        <w:rPr>
          <w:sz w:val="22"/>
          <w:szCs w:val="22"/>
        </w:rPr>
        <w:t xml:space="preserve">, </w:t>
      </w:r>
      <w:proofErr w:type="spellStart"/>
      <w:r w:rsidRPr="00B21BAF">
        <w:rPr>
          <w:sz w:val="22"/>
          <w:szCs w:val="22"/>
        </w:rPr>
        <w:t>senyawa</w:t>
      </w:r>
      <w:proofErr w:type="spellEnd"/>
      <w:r w:rsidRPr="00B21BAF">
        <w:rPr>
          <w:sz w:val="22"/>
          <w:szCs w:val="22"/>
        </w:rPr>
        <w:t xml:space="preserve"> </w:t>
      </w:r>
      <w:proofErr w:type="spellStart"/>
      <w:r w:rsidRPr="00B21BAF">
        <w:rPr>
          <w:sz w:val="22"/>
          <w:szCs w:val="22"/>
        </w:rPr>
        <w:t>ini</w:t>
      </w:r>
      <w:proofErr w:type="spellEnd"/>
      <w:r w:rsidRPr="00B21BAF">
        <w:rPr>
          <w:sz w:val="22"/>
          <w:szCs w:val="22"/>
        </w:rPr>
        <w:t xml:space="preserve"> </w:t>
      </w:r>
      <w:proofErr w:type="spellStart"/>
      <w:r w:rsidRPr="00B21BAF">
        <w:rPr>
          <w:sz w:val="22"/>
          <w:szCs w:val="22"/>
        </w:rPr>
        <w:t>menunjukkan</w:t>
      </w:r>
      <w:proofErr w:type="spellEnd"/>
      <w:r w:rsidRPr="00B21BAF">
        <w:rPr>
          <w:sz w:val="22"/>
          <w:szCs w:val="22"/>
        </w:rPr>
        <w:t xml:space="preserve"> </w:t>
      </w:r>
      <w:proofErr w:type="spellStart"/>
      <w:r w:rsidRPr="00B21BAF">
        <w:rPr>
          <w:sz w:val="22"/>
          <w:szCs w:val="22"/>
        </w:rPr>
        <w:t>potensi</w:t>
      </w:r>
      <w:proofErr w:type="spellEnd"/>
      <w:r w:rsidRPr="00B21BAF">
        <w:rPr>
          <w:sz w:val="22"/>
          <w:szCs w:val="22"/>
        </w:rPr>
        <w:t xml:space="preserve"> </w:t>
      </w:r>
      <w:proofErr w:type="spellStart"/>
      <w:r w:rsidRPr="00B21BAF">
        <w:rPr>
          <w:sz w:val="22"/>
          <w:szCs w:val="22"/>
        </w:rPr>
        <w:t>sebagai</w:t>
      </w:r>
      <w:proofErr w:type="spellEnd"/>
      <w:r w:rsidRPr="00B21BAF">
        <w:rPr>
          <w:sz w:val="22"/>
          <w:szCs w:val="22"/>
        </w:rPr>
        <w:t xml:space="preserve"> </w:t>
      </w:r>
      <w:proofErr w:type="spellStart"/>
      <w:r w:rsidRPr="00B21BAF">
        <w:rPr>
          <w:sz w:val="22"/>
          <w:szCs w:val="22"/>
        </w:rPr>
        <w:t>kandidat</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pengembangan</w:t>
      </w:r>
      <w:proofErr w:type="spellEnd"/>
      <w:r w:rsidRPr="00B21BAF">
        <w:rPr>
          <w:sz w:val="22"/>
          <w:szCs w:val="22"/>
        </w:rPr>
        <w:t xml:space="preserve"> </w:t>
      </w:r>
      <w:proofErr w:type="spellStart"/>
      <w:r w:rsidRPr="00B21BAF">
        <w:rPr>
          <w:sz w:val="22"/>
          <w:szCs w:val="22"/>
        </w:rPr>
        <w:t>obat-obatan</w:t>
      </w:r>
      <w:proofErr w:type="spellEnd"/>
      <w:r w:rsidRPr="00B21BAF">
        <w:rPr>
          <w:sz w:val="22"/>
          <w:szCs w:val="22"/>
        </w:rPr>
        <w:t xml:space="preserve"> </w:t>
      </w:r>
      <w:proofErr w:type="spellStart"/>
      <w:r w:rsidRPr="00B21BAF">
        <w:rPr>
          <w:sz w:val="22"/>
          <w:szCs w:val="22"/>
        </w:rPr>
        <w:t>alami</w:t>
      </w:r>
      <w:proofErr w:type="spellEnd"/>
      <w:r w:rsidRPr="00B21BAF">
        <w:rPr>
          <w:sz w:val="22"/>
          <w:szCs w:val="22"/>
        </w:rPr>
        <w:t>.</w:t>
      </w:r>
    </w:p>
    <w:p w14:paraId="238F8425" w14:textId="77777777" w:rsidR="00F90D94" w:rsidRPr="00F90D94" w:rsidRDefault="00F90D94" w:rsidP="00F90D94">
      <w:pPr>
        <w:spacing w:line="360" w:lineRule="auto"/>
        <w:ind w:firstLine="284"/>
        <w:jc w:val="both"/>
        <w:rPr>
          <w:sz w:val="22"/>
          <w:szCs w:val="22"/>
          <w:lang w:val="en-ID"/>
        </w:rPr>
      </w:pPr>
      <w:proofErr w:type="spellStart"/>
      <w:r w:rsidRPr="00F90D94">
        <w:rPr>
          <w:sz w:val="22"/>
          <w:szCs w:val="22"/>
          <w:lang w:val="en-ID"/>
        </w:rPr>
        <w:t>Penemuan</w:t>
      </w:r>
      <w:proofErr w:type="spellEnd"/>
      <w:r w:rsidRPr="00F90D94">
        <w:rPr>
          <w:sz w:val="22"/>
          <w:szCs w:val="22"/>
          <w:lang w:val="en-ID"/>
        </w:rPr>
        <w:t xml:space="preserve"> </w:t>
      </w:r>
      <w:proofErr w:type="spellStart"/>
      <w:r w:rsidRPr="00F90D94">
        <w:rPr>
          <w:sz w:val="22"/>
          <w:szCs w:val="22"/>
          <w:lang w:val="en-ID"/>
        </w:rPr>
        <w:t>obat</w:t>
      </w:r>
      <w:proofErr w:type="spellEnd"/>
      <w:r w:rsidRPr="00F90D94">
        <w:rPr>
          <w:sz w:val="22"/>
          <w:szCs w:val="22"/>
          <w:lang w:val="en-ID"/>
        </w:rPr>
        <w:t xml:space="preserve"> </w:t>
      </w:r>
      <w:proofErr w:type="spellStart"/>
      <w:r w:rsidRPr="00F90D94">
        <w:rPr>
          <w:sz w:val="22"/>
          <w:szCs w:val="22"/>
          <w:lang w:val="en-ID"/>
        </w:rPr>
        <w:t>merupakan</w:t>
      </w:r>
      <w:proofErr w:type="spellEnd"/>
      <w:r w:rsidRPr="00F90D94">
        <w:rPr>
          <w:sz w:val="22"/>
          <w:szCs w:val="22"/>
          <w:lang w:val="en-ID"/>
        </w:rPr>
        <w:t xml:space="preserve"> proses yang </w:t>
      </w:r>
      <w:proofErr w:type="spellStart"/>
      <w:r w:rsidRPr="00F90D94">
        <w:rPr>
          <w:sz w:val="22"/>
          <w:szCs w:val="22"/>
          <w:lang w:val="en-ID"/>
        </w:rPr>
        <w:t>kompleks</w:t>
      </w:r>
      <w:proofErr w:type="spellEnd"/>
      <w:r w:rsidRPr="00F90D94">
        <w:rPr>
          <w:sz w:val="22"/>
          <w:szCs w:val="22"/>
          <w:lang w:val="en-ID"/>
        </w:rPr>
        <w:t xml:space="preserve"> dan </w:t>
      </w:r>
      <w:proofErr w:type="spellStart"/>
      <w:r w:rsidRPr="00F90D94">
        <w:rPr>
          <w:sz w:val="22"/>
          <w:szCs w:val="22"/>
          <w:lang w:val="en-ID"/>
        </w:rPr>
        <w:t>memakan</w:t>
      </w:r>
      <w:proofErr w:type="spellEnd"/>
      <w:r w:rsidRPr="00F90D94">
        <w:rPr>
          <w:sz w:val="22"/>
          <w:szCs w:val="22"/>
          <w:lang w:val="en-ID"/>
        </w:rPr>
        <w:t xml:space="preserve"> </w:t>
      </w:r>
      <w:proofErr w:type="spellStart"/>
      <w:r w:rsidRPr="00F90D94">
        <w:rPr>
          <w:sz w:val="22"/>
          <w:szCs w:val="22"/>
          <w:lang w:val="en-ID"/>
        </w:rPr>
        <w:t>waktu</w:t>
      </w:r>
      <w:proofErr w:type="spellEnd"/>
      <w:r w:rsidRPr="00F90D94">
        <w:rPr>
          <w:sz w:val="22"/>
          <w:szCs w:val="22"/>
          <w:lang w:val="en-ID"/>
        </w:rPr>
        <w:t xml:space="preserve">, </w:t>
      </w:r>
      <w:proofErr w:type="spellStart"/>
      <w:r w:rsidRPr="00F90D94">
        <w:rPr>
          <w:sz w:val="22"/>
          <w:szCs w:val="22"/>
          <w:lang w:val="en-ID"/>
        </w:rPr>
        <w:t>melibatkan</w:t>
      </w:r>
      <w:proofErr w:type="spellEnd"/>
      <w:r w:rsidRPr="00F90D94">
        <w:rPr>
          <w:sz w:val="22"/>
          <w:szCs w:val="22"/>
          <w:lang w:val="en-ID"/>
        </w:rPr>
        <w:t xml:space="preserve"> </w:t>
      </w:r>
      <w:proofErr w:type="spellStart"/>
      <w:r w:rsidRPr="00F90D94">
        <w:rPr>
          <w:sz w:val="22"/>
          <w:szCs w:val="22"/>
          <w:lang w:val="en-ID"/>
        </w:rPr>
        <w:t>tahap</w:t>
      </w:r>
      <w:proofErr w:type="spellEnd"/>
      <w:r w:rsidRPr="00F90D94">
        <w:rPr>
          <w:sz w:val="22"/>
          <w:szCs w:val="22"/>
          <w:lang w:val="en-ID"/>
        </w:rPr>
        <w:t xml:space="preserve"> </w:t>
      </w:r>
      <w:proofErr w:type="spellStart"/>
      <w:r w:rsidRPr="00F90D94">
        <w:rPr>
          <w:sz w:val="22"/>
          <w:szCs w:val="22"/>
          <w:lang w:val="en-ID"/>
        </w:rPr>
        <w:t>eksplorasi</w:t>
      </w:r>
      <w:proofErr w:type="spellEnd"/>
      <w:r w:rsidRPr="00F90D94">
        <w:rPr>
          <w:sz w:val="22"/>
          <w:szCs w:val="22"/>
          <w:lang w:val="en-ID"/>
        </w:rPr>
        <w:t xml:space="preserve"> </w:t>
      </w:r>
      <w:proofErr w:type="spellStart"/>
      <w:r w:rsidRPr="00F90D94">
        <w:rPr>
          <w:sz w:val="22"/>
          <w:szCs w:val="22"/>
          <w:lang w:val="en-ID"/>
        </w:rPr>
        <w:t>senyawa</w:t>
      </w:r>
      <w:proofErr w:type="spellEnd"/>
      <w:r w:rsidRPr="00F90D94">
        <w:rPr>
          <w:sz w:val="22"/>
          <w:szCs w:val="22"/>
          <w:lang w:val="en-ID"/>
        </w:rPr>
        <w:t xml:space="preserve"> </w:t>
      </w:r>
      <w:proofErr w:type="spellStart"/>
      <w:r w:rsidRPr="00F90D94">
        <w:rPr>
          <w:sz w:val="22"/>
          <w:szCs w:val="22"/>
          <w:lang w:val="en-ID"/>
        </w:rPr>
        <w:t>aktif</w:t>
      </w:r>
      <w:proofErr w:type="spellEnd"/>
      <w:r w:rsidRPr="00F90D94">
        <w:rPr>
          <w:sz w:val="22"/>
          <w:szCs w:val="22"/>
          <w:lang w:val="en-ID"/>
        </w:rPr>
        <w:t xml:space="preserve"> yang </w:t>
      </w:r>
      <w:proofErr w:type="spellStart"/>
      <w:r w:rsidRPr="00F90D94">
        <w:rPr>
          <w:sz w:val="22"/>
          <w:szCs w:val="22"/>
          <w:lang w:val="en-ID"/>
        </w:rPr>
        <w:t>dapat</w:t>
      </w:r>
      <w:proofErr w:type="spellEnd"/>
      <w:r w:rsidRPr="00F90D94">
        <w:rPr>
          <w:sz w:val="22"/>
          <w:szCs w:val="22"/>
          <w:lang w:val="en-ID"/>
        </w:rPr>
        <w:t xml:space="preserve"> </w:t>
      </w:r>
      <w:proofErr w:type="spellStart"/>
      <w:r w:rsidRPr="00F90D94">
        <w:rPr>
          <w:sz w:val="22"/>
          <w:szCs w:val="22"/>
          <w:lang w:val="en-ID"/>
        </w:rPr>
        <w:t>berinteraksi</w:t>
      </w:r>
      <w:proofErr w:type="spellEnd"/>
      <w:r w:rsidRPr="00F90D94">
        <w:rPr>
          <w:sz w:val="22"/>
          <w:szCs w:val="22"/>
          <w:lang w:val="en-ID"/>
        </w:rPr>
        <w:t xml:space="preserve"> </w:t>
      </w:r>
      <w:proofErr w:type="spellStart"/>
      <w:r w:rsidRPr="00F90D94">
        <w:rPr>
          <w:sz w:val="22"/>
          <w:szCs w:val="22"/>
          <w:lang w:val="en-ID"/>
        </w:rPr>
        <w:t>dengan</w:t>
      </w:r>
      <w:proofErr w:type="spellEnd"/>
      <w:r w:rsidRPr="00F90D94">
        <w:rPr>
          <w:sz w:val="22"/>
          <w:szCs w:val="22"/>
          <w:lang w:val="en-ID"/>
        </w:rPr>
        <w:t xml:space="preserve"> target </w:t>
      </w:r>
      <w:proofErr w:type="spellStart"/>
      <w:r w:rsidRPr="00F90D94">
        <w:rPr>
          <w:sz w:val="22"/>
          <w:szCs w:val="22"/>
          <w:lang w:val="en-ID"/>
        </w:rPr>
        <w:t>biologis</w:t>
      </w:r>
      <w:proofErr w:type="spellEnd"/>
      <w:r w:rsidRPr="00F90D94">
        <w:rPr>
          <w:sz w:val="22"/>
          <w:szCs w:val="22"/>
          <w:lang w:val="en-ID"/>
        </w:rPr>
        <w:t xml:space="preserve"> </w:t>
      </w:r>
      <w:proofErr w:type="spellStart"/>
      <w:r w:rsidRPr="00F90D94">
        <w:rPr>
          <w:sz w:val="22"/>
          <w:szCs w:val="22"/>
          <w:lang w:val="en-ID"/>
        </w:rPr>
        <w:t>untuk</w:t>
      </w:r>
      <w:proofErr w:type="spellEnd"/>
      <w:r w:rsidRPr="00F90D94">
        <w:rPr>
          <w:sz w:val="22"/>
          <w:szCs w:val="22"/>
          <w:lang w:val="en-ID"/>
        </w:rPr>
        <w:t xml:space="preserve"> </w:t>
      </w:r>
      <w:proofErr w:type="spellStart"/>
      <w:r w:rsidRPr="00F90D94">
        <w:rPr>
          <w:sz w:val="22"/>
          <w:szCs w:val="22"/>
          <w:lang w:val="en-ID"/>
        </w:rPr>
        <w:t>menghasilkan</w:t>
      </w:r>
      <w:proofErr w:type="spellEnd"/>
      <w:r w:rsidRPr="00F90D94">
        <w:rPr>
          <w:sz w:val="22"/>
          <w:szCs w:val="22"/>
          <w:lang w:val="en-ID"/>
        </w:rPr>
        <w:t xml:space="preserve"> </w:t>
      </w:r>
      <w:proofErr w:type="spellStart"/>
      <w:r w:rsidRPr="00F90D94">
        <w:rPr>
          <w:sz w:val="22"/>
          <w:szCs w:val="22"/>
          <w:lang w:val="en-ID"/>
        </w:rPr>
        <w:t>efek</w:t>
      </w:r>
      <w:proofErr w:type="spellEnd"/>
      <w:r w:rsidRPr="00F90D94">
        <w:rPr>
          <w:sz w:val="22"/>
          <w:szCs w:val="22"/>
          <w:lang w:val="en-ID"/>
        </w:rPr>
        <w:t xml:space="preserve"> </w:t>
      </w:r>
      <w:proofErr w:type="spellStart"/>
      <w:r w:rsidRPr="00F90D94">
        <w:rPr>
          <w:sz w:val="22"/>
          <w:szCs w:val="22"/>
          <w:lang w:val="en-ID"/>
        </w:rPr>
        <w:t>terapi</w:t>
      </w:r>
      <w:proofErr w:type="spellEnd"/>
      <w:r>
        <w:rPr>
          <w:sz w:val="22"/>
          <w:szCs w:val="22"/>
          <w:lang w:val="en-ID"/>
        </w:rPr>
        <w:t xml:space="preserve"> </w:t>
      </w:r>
      <w:r>
        <w:rPr>
          <w:sz w:val="22"/>
          <w:szCs w:val="22"/>
          <w:lang w:val="en-ID"/>
        </w:rPr>
        <w:fldChar w:fldCharType="begin" w:fldLock="1"/>
      </w:r>
      <w:r>
        <w:rPr>
          <w:sz w:val="22"/>
          <w:szCs w:val="22"/>
          <w:lang w:val="en-ID"/>
        </w:rPr>
        <w:instrText>ADDIN CSL_CITATION {"citationItems":[{"id":"ITEM-1","itemData":{"DOI":"10.1517/17460441.2012.715631","author":[{"dropping-particle":"","family":"Fang","given":"Ye","non-dropping-particle":"","parse-names":false,"suffix":""}],"container-title":"Expert Opinion on Drug Discovery","id":"ITEM-1","issue":"10","issued":{"date-parts":[["2012"]]},"note":"PMID: 22860803","page":"969-988","publisher":"Taylor &amp; Francis","title":"Ligand–receptor interaction platforms and their applications for drug discovery","type":"article-journal","volume":"7"},"uris":["http://www.mendeley.com/documents/?uuid=eccb928d-8039-4635-afa1-d96004f6fff7"]}],"mendeley":{"formattedCitation":"(Fang, 2012)","plainTextFormattedCitation":"(Fang, 2012)","previouslyFormattedCitation":"(Fang, 2012)"},"properties":{"noteIndex":0},"schema":"https://github.com/citation-style-language/schema/raw/master/csl-citation.json"}</w:instrText>
      </w:r>
      <w:r>
        <w:rPr>
          <w:sz w:val="22"/>
          <w:szCs w:val="22"/>
          <w:lang w:val="en-ID"/>
        </w:rPr>
        <w:fldChar w:fldCharType="separate"/>
      </w:r>
      <w:r w:rsidRPr="00F90D94">
        <w:rPr>
          <w:noProof/>
          <w:sz w:val="22"/>
          <w:szCs w:val="22"/>
          <w:lang w:val="en-ID"/>
        </w:rPr>
        <w:t>(Fang, 2012)</w:t>
      </w:r>
      <w:r>
        <w:rPr>
          <w:sz w:val="22"/>
          <w:szCs w:val="22"/>
          <w:lang w:val="en-ID"/>
        </w:rPr>
        <w:fldChar w:fldCharType="end"/>
      </w:r>
      <w:r w:rsidRPr="00F90D94">
        <w:rPr>
          <w:sz w:val="22"/>
          <w:szCs w:val="22"/>
          <w:lang w:val="en-ID"/>
        </w:rPr>
        <w:t xml:space="preserve">. Salah </w:t>
      </w:r>
      <w:proofErr w:type="spellStart"/>
      <w:r w:rsidRPr="00F90D94">
        <w:rPr>
          <w:sz w:val="22"/>
          <w:szCs w:val="22"/>
          <w:lang w:val="en-ID"/>
        </w:rPr>
        <w:t>satu</w:t>
      </w:r>
      <w:proofErr w:type="spellEnd"/>
      <w:r w:rsidRPr="00F90D94">
        <w:rPr>
          <w:sz w:val="22"/>
          <w:szCs w:val="22"/>
          <w:lang w:val="en-ID"/>
        </w:rPr>
        <w:t xml:space="preserve"> </w:t>
      </w:r>
      <w:proofErr w:type="spellStart"/>
      <w:r w:rsidRPr="00F90D94">
        <w:rPr>
          <w:sz w:val="22"/>
          <w:szCs w:val="22"/>
          <w:lang w:val="en-ID"/>
        </w:rPr>
        <w:t>pendekatan</w:t>
      </w:r>
      <w:proofErr w:type="spellEnd"/>
      <w:r w:rsidRPr="00F90D94">
        <w:rPr>
          <w:sz w:val="22"/>
          <w:szCs w:val="22"/>
          <w:lang w:val="en-ID"/>
        </w:rPr>
        <w:t xml:space="preserve"> yang </w:t>
      </w:r>
      <w:proofErr w:type="spellStart"/>
      <w:r w:rsidRPr="00F90D94">
        <w:rPr>
          <w:sz w:val="22"/>
          <w:szCs w:val="22"/>
          <w:lang w:val="en-ID"/>
        </w:rPr>
        <w:t>banyak</w:t>
      </w:r>
      <w:proofErr w:type="spellEnd"/>
      <w:r w:rsidRPr="00F90D94">
        <w:rPr>
          <w:sz w:val="22"/>
          <w:szCs w:val="22"/>
          <w:lang w:val="en-ID"/>
        </w:rPr>
        <w:t xml:space="preserve"> </w:t>
      </w:r>
      <w:proofErr w:type="spellStart"/>
      <w:r w:rsidRPr="00F90D94">
        <w:rPr>
          <w:sz w:val="22"/>
          <w:szCs w:val="22"/>
          <w:lang w:val="en-ID"/>
        </w:rPr>
        <w:t>digunakan</w:t>
      </w:r>
      <w:proofErr w:type="spellEnd"/>
      <w:r w:rsidRPr="00F90D94">
        <w:rPr>
          <w:sz w:val="22"/>
          <w:szCs w:val="22"/>
          <w:lang w:val="en-ID"/>
        </w:rPr>
        <w:t xml:space="preserve"> </w:t>
      </w:r>
      <w:proofErr w:type="spellStart"/>
      <w:r w:rsidRPr="00F90D94">
        <w:rPr>
          <w:sz w:val="22"/>
          <w:szCs w:val="22"/>
          <w:lang w:val="en-ID"/>
        </w:rPr>
        <w:t>dalam</w:t>
      </w:r>
      <w:proofErr w:type="spellEnd"/>
      <w:r w:rsidRPr="00F90D94">
        <w:rPr>
          <w:sz w:val="22"/>
          <w:szCs w:val="22"/>
          <w:lang w:val="en-ID"/>
        </w:rPr>
        <w:t xml:space="preserve"> </w:t>
      </w:r>
      <w:proofErr w:type="spellStart"/>
      <w:r w:rsidRPr="00F90D94">
        <w:rPr>
          <w:sz w:val="22"/>
          <w:szCs w:val="22"/>
          <w:lang w:val="en-ID"/>
        </w:rPr>
        <w:t>tahap</w:t>
      </w:r>
      <w:proofErr w:type="spellEnd"/>
      <w:r w:rsidRPr="00F90D94">
        <w:rPr>
          <w:sz w:val="22"/>
          <w:szCs w:val="22"/>
          <w:lang w:val="en-ID"/>
        </w:rPr>
        <w:t xml:space="preserve"> </w:t>
      </w:r>
      <w:proofErr w:type="spellStart"/>
      <w:r w:rsidRPr="00F90D94">
        <w:rPr>
          <w:sz w:val="22"/>
          <w:szCs w:val="22"/>
          <w:lang w:val="en-ID"/>
        </w:rPr>
        <w:t>awal</w:t>
      </w:r>
      <w:proofErr w:type="spellEnd"/>
      <w:r w:rsidRPr="00F90D94">
        <w:rPr>
          <w:sz w:val="22"/>
          <w:szCs w:val="22"/>
          <w:lang w:val="en-ID"/>
        </w:rPr>
        <w:t xml:space="preserve"> </w:t>
      </w:r>
      <w:proofErr w:type="spellStart"/>
      <w:r w:rsidRPr="00F90D94">
        <w:rPr>
          <w:sz w:val="22"/>
          <w:szCs w:val="22"/>
          <w:lang w:val="en-ID"/>
        </w:rPr>
        <w:t>penemuan</w:t>
      </w:r>
      <w:proofErr w:type="spellEnd"/>
      <w:r w:rsidRPr="00F90D94">
        <w:rPr>
          <w:sz w:val="22"/>
          <w:szCs w:val="22"/>
          <w:lang w:val="en-ID"/>
        </w:rPr>
        <w:t xml:space="preserve"> </w:t>
      </w:r>
      <w:proofErr w:type="spellStart"/>
      <w:r w:rsidRPr="00F90D94">
        <w:rPr>
          <w:sz w:val="22"/>
          <w:szCs w:val="22"/>
          <w:lang w:val="en-ID"/>
        </w:rPr>
        <w:t>obat</w:t>
      </w:r>
      <w:proofErr w:type="spellEnd"/>
      <w:r w:rsidRPr="00F90D94">
        <w:rPr>
          <w:sz w:val="22"/>
          <w:szCs w:val="22"/>
          <w:lang w:val="en-ID"/>
        </w:rPr>
        <w:t xml:space="preserve"> </w:t>
      </w:r>
      <w:proofErr w:type="spellStart"/>
      <w:r w:rsidRPr="00F90D94">
        <w:rPr>
          <w:sz w:val="22"/>
          <w:szCs w:val="22"/>
          <w:lang w:val="en-ID"/>
        </w:rPr>
        <w:t>adalah</w:t>
      </w:r>
      <w:proofErr w:type="spellEnd"/>
      <w:r w:rsidRPr="00F90D94">
        <w:rPr>
          <w:sz w:val="22"/>
          <w:szCs w:val="22"/>
          <w:lang w:val="en-ID"/>
        </w:rPr>
        <w:t xml:space="preserve"> </w:t>
      </w:r>
      <w:r w:rsidR="0038409E" w:rsidRPr="0038409E">
        <w:rPr>
          <w:i/>
          <w:iCs/>
          <w:sz w:val="22"/>
          <w:szCs w:val="22"/>
          <w:lang w:val="en-ID"/>
        </w:rPr>
        <w:t>molecular docking</w:t>
      </w:r>
      <w:r w:rsidRPr="00F90D94">
        <w:rPr>
          <w:sz w:val="22"/>
          <w:szCs w:val="22"/>
          <w:lang w:val="en-ID"/>
        </w:rPr>
        <w:t xml:space="preserve">, </w:t>
      </w:r>
      <w:proofErr w:type="spellStart"/>
      <w:r w:rsidRPr="00F90D94">
        <w:rPr>
          <w:sz w:val="22"/>
          <w:szCs w:val="22"/>
          <w:lang w:val="en-ID"/>
        </w:rPr>
        <w:t>suatu</w:t>
      </w:r>
      <w:proofErr w:type="spellEnd"/>
      <w:r w:rsidRPr="00F90D94">
        <w:rPr>
          <w:sz w:val="22"/>
          <w:szCs w:val="22"/>
          <w:lang w:val="en-ID"/>
        </w:rPr>
        <w:t xml:space="preserve"> </w:t>
      </w:r>
      <w:proofErr w:type="spellStart"/>
      <w:r w:rsidRPr="00F90D94">
        <w:rPr>
          <w:sz w:val="22"/>
          <w:szCs w:val="22"/>
          <w:lang w:val="en-ID"/>
        </w:rPr>
        <w:t>metode</w:t>
      </w:r>
      <w:proofErr w:type="spellEnd"/>
      <w:r w:rsidRPr="00F90D94">
        <w:rPr>
          <w:sz w:val="22"/>
          <w:szCs w:val="22"/>
          <w:lang w:val="en-ID"/>
        </w:rPr>
        <w:t xml:space="preserve"> </w:t>
      </w:r>
      <w:proofErr w:type="spellStart"/>
      <w:r w:rsidRPr="00F90D94">
        <w:rPr>
          <w:sz w:val="22"/>
          <w:szCs w:val="22"/>
          <w:lang w:val="en-ID"/>
        </w:rPr>
        <w:t>komputasi</w:t>
      </w:r>
      <w:proofErr w:type="spellEnd"/>
      <w:r w:rsidRPr="00F90D94">
        <w:rPr>
          <w:sz w:val="22"/>
          <w:szCs w:val="22"/>
          <w:lang w:val="en-ID"/>
        </w:rPr>
        <w:t xml:space="preserve"> yang </w:t>
      </w:r>
      <w:proofErr w:type="spellStart"/>
      <w:r w:rsidRPr="00F90D94">
        <w:rPr>
          <w:sz w:val="22"/>
          <w:szCs w:val="22"/>
          <w:lang w:val="en-ID"/>
        </w:rPr>
        <w:t>bertujuan</w:t>
      </w:r>
      <w:proofErr w:type="spellEnd"/>
      <w:r w:rsidRPr="00F90D94">
        <w:rPr>
          <w:sz w:val="22"/>
          <w:szCs w:val="22"/>
          <w:lang w:val="en-ID"/>
        </w:rPr>
        <w:t xml:space="preserve"> </w:t>
      </w:r>
      <w:proofErr w:type="spellStart"/>
      <w:r w:rsidRPr="00F90D94">
        <w:rPr>
          <w:sz w:val="22"/>
          <w:szCs w:val="22"/>
          <w:lang w:val="en-ID"/>
        </w:rPr>
        <w:t>untuk</w:t>
      </w:r>
      <w:proofErr w:type="spellEnd"/>
      <w:r w:rsidRPr="00F90D94">
        <w:rPr>
          <w:sz w:val="22"/>
          <w:szCs w:val="22"/>
          <w:lang w:val="en-ID"/>
        </w:rPr>
        <w:t xml:space="preserve"> </w:t>
      </w:r>
      <w:proofErr w:type="spellStart"/>
      <w:r w:rsidRPr="00F90D94">
        <w:rPr>
          <w:sz w:val="22"/>
          <w:szCs w:val="22"/>
          <w:lang w:val="en-ID"/>
        </w:rPr>
        <w:t>memprediksi</w:t>
      </w:r>
      <w:proofErr w:type="spellEnd"/>
      <w:r w:rsidRPr="00F90D94">
        <w:rPr>
          <w:sz w:val="22"/>
          <w:szCs w:val="22"/>
          <w:lang w:val="en-ID"/>
        </w:rPr>
        <w:t xml:space="preserve"> </w:t>
      </w:r>
      <w:proofErr w:type="spellStart"/>
      <w:r w:rsidRPr="00F90D94">
        <w:rPr>
          <w:sz w:val="22"/>
          <w:szCs w:val="22"/>
          <w:lang w:val="en-ID"/>
        </w:rPr>
        <w:t>interaksi</w:t>
      </w:r>
      <w:proofErr w:type="spellEnd"/>
      <w:r w:rsidRPr="00F90D94">
        <w:rPr>
          <w:sz w:val="22"/>
          <w:szCs w:val="22"/>
          <w:lang w:val="en-ID"/>
        </w:rPr>
        <w:t xml:space="preserve"> </w:t>
      </w:r>
      <w:proofErr w:type="spellStart"/>
      <w:r w:rsidRPr="00F90D94">
        <w:rPr>
          <w:sz w:val="22"/>
          <w:szCs w:val="22"/>
          <w:lang w:val="en-ID"/>
        </w:rPr>
        <w:t>antara</w:t>
      </w:r>
      <w:proofErr w:type="spellEnd"/>
      <w:r w:rsidRPr="00F90D94">
        <w:rPr>
          <w:sz w:val="22"/>
          <w:szCs w:val="22"/>
          <w:lang w:val="en-ID"/>
        </w:rPr>
        <w:t xml:space="preserve"> </w:t>
      </w:r>
      <w:proofErr w:type="spellStart"/>
      <w:r w:rsidRPr="00F90D94">
        <w:rPr>
          <w:sz w:val="22"/>
          <w:szCs w:val="22"/>
          <w:lang w:val="en-ID"/>
        </w:rPr>
        <w:t>molekul</w:t>
      </w:r>
      <w:proofErr w:type="spellEnd"/>
      <w:r w:rsidRPr="00F90D94">
        <w:rPr>
          <w:sz w:val="22"/>
          <w:szCs w:val="22"/>
          <w:lang w:val="en-ID"/>
        </w:rPr>
        <w:t xml:space="preserve"> </w:t>
      </w:r>
      <w:proofErr w:type="spellStart"/>
      <w:r w:rsidRPr="00F90D94">
        <w:rPr>
          <w:sz w:val="22"/>
          <w:szCs w:val="22"/>
          <w:lang w:val="en-ID"/>
        </w:rPr>
        <w:t>kecil</w:t>
      </w:r>
      <w:proofErr w:type="spellEnd"/>
      <w:r w:rsidRPr="00F90D94">
        <w:rPr>
          <w:sz w:val="22"/>
          <w:szCs w:val="22"/>
          <w:lang w:val="en-ID"/>
        </w:rPr>
        <w:t xml:space="preserve"> (ligand) </w:t>
      </w:r>
      <w:proofErr w:type="spellStart"/>
      <w:r w:rsidRPr="00F90D94">
        <w:rPr>
          <w:sz w:val="22"/>
          <w:szCs w:val="22"/>
          <w:lang w:val="en-ID"/>
        </w:rPr>
        <w:t>dengan</w:t>
      </w:r>
      <w:proofErr w:type="spellEnd"/>
      <w:r w:rsidRPr="00F90D94">
        <w:rPr>
          <w:sz w:val="22"/>
          <w:szCs w:val="22"/>
          <w:lang w:val="en-ID"/>
        </w:rPr>
        <w:t xml:space="preserve"> target </w:t>
      </w:r>
      <w:proofErr w:type="spellStart"/>
      <w:r w:rsidRPr="00F90D94">
        <w:rPr>
          <w:sz w:val="22"/>
          <w:szCs w:val="22"/>
          <w:lang w:val="en-ID"/>
        </w:rPr>
        <w:t>makromolekul</w:t>
      </w:r>
      <w:proofErr w:type="spellEnd"/>
      <w:r w:rsidRPr="00F90D94">
        <w:rPr>
          <w:sz w:val="22"/>
          <w:szCs w:val="22"/>
          <w:lang w:val="en-ID"/>
        </w:rPr>
        <w:t xml:space="preserve"> </w:t>
      </w:r>
      <w:proofErr w:type="spellStart"/>
      <w:r w:rsidRPr="00F90D94">
        <w:rPr>
          <w:sz w:val="22"/>
          <w:szCs w:val="22"/>
          <w:lang w:val="en-ID"/>
        </w:rPr>
        <w:t>seperti</w:t>
      </w:r>
      <w:proofErr w:type="spellEnd"/>
      <w:r w:rsidRPr="00F90D94">
        <w:rPr>
          <w:sz w:val="22"/>
          <w:szCs w:val="22"/>
          <w:lang w:val="en-ID"/>
        </w:rPr>
        <w:t xml:space="preserve"> protein </w:t>
      </w:r>
      <w:proofErr w:type="spellStart"/>
      <w:r w:rsidRPr="00F90D94">
        <w:rPr>
          <w:sz w:val="22"/>
          <w:szCs w:val="22"/>
          <w:lang w:val="en-ID"/>
        </w:rPr>
        <w:t>atau</w:t>
      </w:r>
      <w:proofErr w:type="spellEnd"/>
      <w:r w:rsidRPr="00F90D94">
        <w:rPr>
          <w:sz w:val="22"/>
          <w:szCs w:val="22"/>
          <w:lang w:val="en-ID"/>
        </w:rPr>
        <w:t xml:space="preserve"> </w:t>
      </w:r>
      <w:proofErr w:type="spellStart"/>
      <w:r w:rsidRPr="00F90D94">
        <w:rPr>
          <w:sz w:val="22"/>
          <w:szCs w:val="22"/>
          <w:lang w:val="en-ID"/>
        </w:rPr>
        <w:t>asam</w:t>
      </w:r>
      <w:proofErr w:type="spellEnd"/>
      <w:r w:rsidRPr="00F90D94">
        <w:rPr>
          <w:sz w:val="22"/>
          <w:szCs w:val="22"/>
          <w:lang w:val="en-ID"/>
        </w:rPr>
        <w:t xml:space="preserve"> </w:t>
      </w:r>
      <w:proofErr w:type="spellStart"/>
      <w:r w:rsidRPr="00F90D94">
        <w:rPr>
          <w:sz w:val="22"/>
          <w:szCs w:val="22"/>
          <w:lang w:val="en-ID"/>
        </w:rPr>
        <w:t>nukleat</w:t>
      </w:r>
      <w:proofErr w:type="spellEnd"/>
      <w:r>
        <w:rPr>
          <w:sz w:val="22"/>
          <w:szCs w:val="22"/>
          <w:lang w:val="en-ID"/>
        </w:rPr>
        <w:t xml:space="preserve"> </w:t>
      </w:r>
      <w:r>
        <w:rPr>
          <w:sz w:val="22"/>
          <w:szCs w:val="22"/>
          <w:lang w:val="en-ID"/>
        </w:rPr>
        <w:fldChar w:fldCharType="begin" w:fldLock="1"/>
      </w:r>
      <w:r>
        <w:rPr>
          <w:sz w:val="22"/>
          <w:szCs w:val="22"/>
          <w:lang w:val="en-ID"/>
        </w:rPr>
        <w:instrText>ADDIN CSL_CITATION {"citationItems":[{"id":"ITEM-1","itemData":{"DOI":"10.1186/s13321-019-0362-7","ISSN":"1758-2946","abstract":"Comparison of ligand poses generated by protein–ligand docking programs has often been carried out with the assumption of direct atomic correspondence between ligand structures. However, this correspondence is not necessarily chemically relevant for symmetric molecules and can lead to an artificial inflation of ligand pose distance metrics, particularly those that depend on receptor superposition (rather than ligand superposition), such as docking root mean square deviation (RMSD). Several of the commonly-used RMSD calculation algorithms that correct for molecular symmetry do not take into account the bonding structure of molecules and can therefore result in non-physical atomic mapping. Here, we present DockRMSD, a docking pose distance calculator that converts the symmetry correction to a graph isomorphism searching problem, in which the optimal atomic mapping and RMSD calculation are performed by an exhaustive and fast matching search of all isomorphisms of the ligand structure graph. We show through evaluation of docking poses generated by AutoDock Vina on the CSAR Hi-Q set that DockRMSD is capable of deterministically identifying the minimum symmetry-corrected RMSD and is able to do so without significant loss of computational efficiency compared to other methods. The open-source DockRMSD program can be conveniently integrated with various docking pipelines to assist with accurate atomic mapping and RMSD calculations, which can therefore help improve docking performance, especially for ligand molecules with complicated structural symmetry.","author":[{"dropping-particle":"","family":"Bell","given":"Eric W","non-dropping-particle":"","parse-names":false,"suffix":""},{"dropping-particle":"","family":"Zhang","given":"Yang","non-dropping-particle":"","parse-names":false,"suffix":""}],"container-title":"Journal of Cheminformatics","id":"ITEM-1","issue":"1","issued":{"date-parts":[["2019"]]},"page":"40","title":"DockRMSD: an open-source tool for atom mapping and RMSD calculation of symmetric molecules through graph isomorphism","type":"article-journal","volume":"11"},"uris":["http://www.mendeley.com/documents/?uuid=adb59299-60e5-4bb0-bfe6-f9423e0c307d"]}],"mendeley":{"formattedCitation":"(Bell &amp; Zhang, 2019)","plainTextFormattedCitation":"(Bell &amp; Zhang, 2019)","previouslyFormattedCitation":"(Bell &amp; Zhang, 2019)"},"properties":{"noteIndex":0},"schema":"https://github.com/citation-style-language/schema/raw/master/csl-citation.json"}</w:instrText>
      </w:r>
      <w:r>
        <w:rPr>
          <w:sz w:val="22"/>
          <w:szCs w:val="22"/>
          <w:lang w:val="en-ID"/>
        </w:rPr>
        <w:fldChar w:fldCharType="separate"/>
      </w:r>
      <w:r w:rsidRPr="00F90D94">
        <w:rPr>
          <w:noProof/>
          <w:sz w:val="22"/>
          <w:szCs w:val="22"/>
          <w:lang w:val="en-ID"/>
        </w:rPr>
        <w:t>(Bell &amp; Zhang, 2019)</w:t>
      </w:r>
      <w:r>
        <w:rPr>
          <w:sz w:val="22"/>
          <w:szCs w:val="22"/>
          <w:lang w:val="en-ID"/>
        </w:rPr>
        <w:fldChar w:fldCharType="end"/>
      </w:r>
      <w:r w:rsidRPr="00F90D94">
        <w:rPr>
          <w:sz w:val="22"/>
          <w:szCs w:val="22"/>
          <w:lang w:val="en-ID"/>
        </w:rPr>
        <w:t xml:space="preserve">. </w:t>
      </w:r>
      <w:r w:rsidR="0038409E" w:rsidRPr="0038409E">
        <w:rPr>
          <w:i/>
          <w:iCs/>
          <w:sz w:val="22"/>
          <w:szCs w:val="22"/>
          <w:lang w:val="en-ID"/>
        </w:rPr>
        <w:t>Molecular docking</w:t>
      </w:r>
      <w:r w:rsidRPr="00F90D94">
        <w:rPr>
          <w:sz w:val="22"/>
          <w:szCs w:val="22"/>
          <w:lang w:val="en-ID"/>
        </w:rPr>
        <w:t xml:space="preserve"> </w:t>
      </w:r>
      <w:proofErr w:type="spellStart"/>
      <w:r w:rsidRPr="00F90D94">
        <w:rPr>
          <w:sz w:val="22"/>
          <w:szCs w:val="22"/>
          <w:lang w:val="en-ID"/>
        </w:rPr>
        <w:t>membantu</w:t>
      </w:r>
      <w:proofErr w:type="spellEnd"/>
      <w:r w:rsidRPr="00F90D94">
        <w:rPr>
          <w:sz w:val="22"/>
          <w:szCs w:val="22"/>
          <w:lang w:val="en-ID"/>
        </w:rPr>
        <w:t xml:space="preserve"> </w:t>
      </w:r>
      <w:proofErr w:type="spellStart"/>
      <w:r w:rsidRPr="00F90D94">
        <w:rPr>
          <w:sz w:val="22"/>
          <w:szCs w:val="22"/>
          <w:lang w:val="en-ID"/>
        </w:rPr>
        <w:t>memetakan</w:t>
      </w:r>
      <w:proofErr w:type="spellEnd"/>
      <w:r w:rsidRPr="00F90D94">
        <w:rPr>
          <w:sz w:val="22"/>
          <w:szCs w:val="22"/>
          <w:lang w:val="en-ID"/>
        </w:rPr>
        <w:t xml:space="preserve"> </w:t>
      </w:r>
      <w:proofErr w:type="spellStart"/>
      <w:r w:rsidRPr="00F90D94">
        <w:rPr>
          <w:sz w:val="22"/>
          <w:szCs w:val="22"/>
          <w:lang w:val="en-ID"/>
        </w:rPr>
        <w:t>kemungkinan</w:t>
      </w:r>
      <w:proofErr w:type="spellEnd"/>
      <w:r w:rsidRPr="00F90D94">
        <w:rPr>
          <w:sz w:val="22"/>
          <w:szCs w:val="22"/>
          <w:lang w:val="en-ID"/>
        </w:rPr>
        <w:t xml:space="preserve"> </w:t>
      </w:r>
      <w:proofErr w:type="spellStart"/>
      <w:r w:rsidRPr="00F90D94">
        <w:rPr>
          <w:sz w:val="22"/>
          <w:szCs w:val="22"/>
          <w:lang w:val="en-ID"/>
        </w:rPr>
        <w:t>orientasi</w:t>
      </w:r>
      <w:proofErr w:type="spellEnd"/>
      <w:r w:rsidRPr="00F90D94">
        <w:rPr>
          <w:sz w:val="22"/>
          <w:szCs w:val="22"/>
          <w:lang w:val="en-ID"/>
        </w:rPr>
        <w:t xml:space="preserve"> dan </w:t>
      </w:r>
      <w:proofErr w:type="spellStart"/>
      <w:r w:rsidRPr="00F90D94">
        <w:rPr>
          <w:sz w:val="22"/>
          <w:szCs w:val="22"/>
          <w:lang w:val="en-ID"/>
        </w:rPr>
        <w:t>konformasi</w:t>
      </w:r>
      <w:proofErr w:type="spellEnd"/>
      <w:r w:rsidRPr="00F90D94">
        <w:rPr>
          <w:sz w:val="22"/>
          <w:szCs w:val="22"/>
          <w:lang w:val="en-ID"/>
        </w:rPr>
        <w:t xml:space="preserve"> </w:t>
      </w:r>
      <w:proofErr w:type="spellStart"/>
      <w:r w:rsidRPr="00F90D94">
        <w:rPr>
          <w:sz w:val="22"/>
          <w:szCs w:val="22"/>
          <w:lang w:val="en-ID"/>
        </w:rPr>
        <w:t>terbaik</w:t>
      </w:r>
      <w:proofErr w:type="spellEnd"/>
      <w:r w:rsidRPr="00F90D94">
        <w:rPr>
          <w:sz w:val="22"/>
          <w:szCs w:val="22"/>
          <w:lang w:val="en-ID"/>
        </w:rPr>
        <w:t xml:space="preserve"> </w:t>
      </w:r>
      <w:proofErr w:type="spellStart"/>
      <w:r w:rsidRPr="00F90D94">
        <w:rPr>
          <w:sz w:val="22"/>
          <w:szCs w:val="22"/>
          <w:lang w:val="en-ID"/>
        </w:rPr>
        <w:t>dari</w:t>
      </w:r>
      <w:proofErr w:type="spellEnd"/>
      <w:r w:rsidRPr="00F90D94">
        <w:rPr>
          <w:sz w:val="22"/>
          <w:szCs w:val="22"/>
          <w:lang w:val="en-ID"/>
        </w:rPr>
        <w:t xml:space="preserve"> ligand </w:t>
      </w:r>
      <w:proofErr w:type="spellStart"/>
      <w:r w:rsidRPr="00F90D94">
        <w:rPr>
          <w:sz w:val="22"/>
          <w:szCs w:val="22"/>
          <w:lang w:val="en-ID"/>
        </w:rPr>
        <w:t>dalam</w:t>
      </w:r>
      <w:proofErr w:type="spellEnd"/>
      <w:r w:rsidRPr="00F90D94">
        <w:rPr>
          <w:sz w:val="22"/>
          <w:szCs w:val="22"/>
          <w:lang w:val="en-ID"/>
        </w:rPr>
        <w:t xml:space="preserve"> situs </w:t>
      </w:r>
      <w:proofErr w:type="spellStart"/>
      <w:r w:rsidRPr="00F90D94">
        <w:rPr>
          <w:sz w:val="22"/>
          <w:szCs w:val="22"/>
          <w:lang w:val="en-ID"/>
        </w:rPr>
        <w:t>aktif</w:t>
      </w:r>
      <w:proofErr w:type="spellEnd"/>
      <w:r w:rsidRPr="00F90D94">
        <w:rPr>
          <w:sz w:val="22"/>
          <w:szCs w:val="22"/>
          <w:lang w:val="en-ID"/>
        </w:rPr>
        <w:t xml:space="preserve"> target </w:t>
      </w:r>
      <w:proofErr w:type="spellStart"/>
      <w:r w:rsidRPr="00F90D94">
        <w:rPr>
          <w:sz w:val="22"/>
          <w:szCs w:val="22"/>
          <w:lang w:val="en-ID"/>
        </w:rPr>
        <w:t>untuk</w:t>
      </w:r>
      <w:proofErr w:type="spellEnd"/>
      <w:r w:rsidRPr="00F90D94">
        <w:rPr>
          <w:sz w:val="22"/>
          <w:szCs w:val="22"/>
          <w:lang w:val="en-ID"/>
        </w:rPr>
        <w:t xml:space="preserve"> </w:t>
      </w:r>
      <w:proofErr w:type="spellStart"/>
      <w:r w:rsidRPr="00F90D94">
        <w:rPr>
          <w:sz w:val="22"/>
          <w:szCs w:val="22"/>
          <w:lang w:val="en-ID"/>
        </w:rPr>
        <w:t>memaksimalkan</w:t>
      </w:r>
      <w:proofErr w:type="spellEnd"/>
      <w:r w:rsidRPr="00F90D94">
        <w:rPr>
          <w:sz w:val="22"/>
          <w:szCs w:val="22"/>
          <w:lang w:val="en-ID"/>
        </w:rPr>
        <w:t xml:space="preserve"> </w:t>
      </w:r>
      <w:proofErr w:type="spellStart"/>
      <w:r w:rsidRPr="00F90D94">
        <w:rPr>
          <w:sz w:val="22"/>
          <w:szCs w:val="22"/>
          <w:lang w:val="en-ID"/>
        </w:rPr>
        <w:t>afinitas</w:t>
      </w:r>
      <w:proofErr w:type="spellEnd"/>
      <w:r w:rsidRPr="00F90D94">
        <w:rPr>
          <w:sz w:val="22"/>
          <w:szCs w:val="22"/>
          <w:lang w:val="en-ID"/>
        </w:rPr>
        <w:t xml:space="preserve"> dan </w:t>
      </w:r>
      <w:proofErr w:type="spellStart"/>
      <w:r w:rsidRPr="00F90D94">
        <w:rPr>
          <w:sz w:val="22"/>
          <w:szCs w:val="22"/>
          <w:lang w:val="en-ID"/>
        </w:rPr>
        <w:t>stabilitas</w:t>
      </w:r>
      <w:proofErr w:type="spellEnd"/>
      <w:r w:rsidRPr="00F90D94">
        <w:rPr>
          <w:sz w:val="22"/>
          <w:szCs w:val="22"/>
          <w:lang w:val="en-ID"/>
        </w:rPr>
        <w:t xml:space="preserve"> </w:t>
      </w:r>
      <w:proofErr w:type="spellStart"/>
      <w:r w:rsidRPr="00F90D94">
        <w:rPr>
          <w:sz w:val="22"/>
          <w:szCs w:val="22"/>
          <w:lang w:val="en-ID"/>
        </w:rPr>
        <w:t>interaksi</w:t>
      </w:r>
      <w:proofErr w:type="spellEnd"/>
      <w:r w:rsidRPr="00F90D94">
        <w:rPr>
          <w:sz w:val="22"/>
          <w:szCs w:val="22"/>
          <w:lang w:val="en-ID"/>
        </w:rPr>
        <w:t xml:space="preserve"> </w:t>
      </w:r>
      <w:proofErr w:type="spellStart"/>
      <w:r w:rsidRPr="00F90D94">
        <w:rPr>
          <w:sz w:val="22"/>
          <w:szCs w:val="22"/>
          <w:lang w:val="en-ID"/>
        </w:rPr>
        <w:t>tersebut</w:t>
      </w:r>
      <w:proofErr w:type="spellEnd"/>
      <w:r w:rsidRPr="00F90D94">
        <w:rPr>
          <w:sz w:val="22"/>
          <w:szCs w:val="22"/>
          <w:lang w:val="en-ID"/>
        </w:rPr>
        <w:t>.</w:t>
      </w:r>
    </w:p>
    <w:p w14:paraId="04325B82" w14:textId="2A0C0436" w:rsidR="00F90D94" w:rsidRPr="00256F0D" w:rsidRDefault="00F90D94" w:rsidP="00256F0D">
      <w:pPr>
        <w:spacing w:line="360" w:lineRule="auto"/>
        <w:ind w:firstLine="284"/>
        <w:jc w:val="both"/>
        <w:rPr>
          <w:sz w:val="22"/>
          <w:szCs w:val="22"/>
          <w:lang w:val="en-ID"/>
        </w:rPr>
      </w:pPr>
      <w:r w:rsidRPr="00F90D94">
        <w:rPr>
          <w:sz w:val="22"/>
          <w:szCs w:val="22"/>
          <w:lang w:val="en-ID"/>
        </w:rPr>
        <w:t xml:space="preserve">Dalam era </w:t>
      </w:r>
      <w:proofErr w:type="spellStart"/>
      <w:r w:rsidRPr="00F90D94">
        <w:rPr>
          <w:sz w:val="22"/>
          <w:szCs w:val="22"/>
          <w:lang w:val="en-ID"/>
        </w:rPr>
        <w:t>biologi</w:t>
      </w:r>
      <w:proofErr w:type="spellEnd"/>
      <w:r w:rsidRPr="00F90D94">
        <w:rPr>
          <w:sz w:val="22"/>
          <w:szCs w:val="22"/>
          <w:lang w:val="en-ID"/>
        </w:rPr>
        <w:t xml:space="preserve"> </w:t>
      </w:r>
      <w:proofErr w:type="spellStart"/>
      <w:r w:rsidRPr="00F90D94">
        <w:rPr>
          <w:sz w:val="22"/>
          <w:szCs w:val="22"/>
          <w:lang w:val="en-ID"/>
        </w:rPr>
        <w:t>molekuler</w:t>
      </w:r>
      <w:proofErr w:type="spellEnd"/>
      <w:r w:rsidRPr="00F90D94">
        <w:rPr>
          <w:sz w:val="22"/>
          <w:szCs w:val="22"/>
          <w:lang w:val="en-ID"/>
        </w:rPr>
        <w:t xml:space="preserve"> dan </w:t>
      </w:r>
      <w:proofErr w:type="spellStart"/>
      <w:r w:rsidRPr="00F90D94">
        <w:rPr>
          <w:sz w:val="22"/>
          <w:szCs w:val="22"/>
          <w:lang w:val="en-ID"/>
        </w:rPr>
        <w:t>bioinformatika</w:t>
      </w:r>
      <w:proofErr w:type="spellEnd"/>
      <w:r w:rsidRPr="00F90D94">
        <w:rPr>
          <w:sz w:val="22"/>
          <w:szCs w:val="22"/>
          <w:lang w:val="en-ID"/>
        </w:rPr>
        <w:t xml:space="preserve">, </w:t>
      </w:r>
      <w:r w:rsidR="0038409E" w:rsidRPr="0038409E">
        <w:rPr>
          <w:i/>
          <w:iCs/>
          <w:sz w:val="22"/>
          <w:szCs w:val="22"/>
          <w:lang w:val="en-ID"/>
        </w:rPr>
        <w:t>molecular docking</w:t>
      </w:r>
      <w:r w:rsidRPr="00F90D94">
        <w:rPr>
          <w:sz w:val="22"/>
          <w:szCs w:val="22"/>
          <w:lang w:val="en-ID"/>
        </w:rPr>
        <w:t xml:space="preserve"> </w:t>
      </w:r>
      <w:proofErr w:type="spellStart"/>
      <w:r w:rsidRPr="00F90D94">
        <w:rPr>
          <w:sz w:val="22"/>
          <w:szCs w:val="22"/>
          <w:lang w:val="en-ID"/>
        </w:rPr>
        <w:t>menjadi</w:t>
      </w:r>
      <w:proofErr w:type="spellEnd"/>
      <w:r w:rsidRPr="00F90D94">
        <w:rPr>
          <w:sz w:val="22"/>
          <w:szCs w:val="22"/>
          <w:lang w:val="en-ID"/>
        </w:rPr>
        <w:t xml:space="preserve"> </w:t>
      </w:r>
      <w:proofErr w:type="spellStart"/>
      <w:r w:rsidRPr="00F90D94">
        <w:rPr>
          <w:sz w:val="22"/>
          <w:szCs w:val="22"/>
          <w:lang w:val="en-ID"/>
        </w:rPr>
        <w:t>alat</w:t>
      </w:r>
      <w:proofErr w:type="spellEnd"/>
      <w:r w:rsidRPr="00F90D94">
        <w:rPr>
          <w:sz w:val="22"/>
          <w:szCs w:val="22"/>
          <w:lang w:val="en-ID"/>
        </w:rPr>
        <w:t xml:space="preserve"> yang </w:t>
      </w:r>
      <w:proofErr w:type="spellStart"/>
      <w:r w:rsidRPr="00F90D94">
        <w:rPr>
          <w:sz w:val="22"/>
          <w:szCs w:val="22"/>
          <w:lang w:val="en-ID"/>
        </w:rPr>
        <w:t>penting</w:t>
      </w:r>
      <w:proofErr w:type="spellEnd"/>
      <w:r w:rsidRPr="00F90D94">
        <w:rPr>
          <w:sz w:val="22"/>
          <w:szCs w:val="22"/>
          <w:lang w:val="en-ID"/>
        </w:rPr>
        <w:t xml:space="preserve"> </w:t>
      </w:r>
      <w:proofErr w:type="spellStart"/>
      <w:r w:rsidRPr="00F90D94">
        <w:rPr>
          <w:sz w:val="22"/>
          <w:szCs w:val="22"/>
          <w:lang w:val="en-ID"/>
        </w:rPr>
        <w:t>karena</w:t>
      </w:r>
      <w:proofErr w:type="spellEnd"/>
      <w:r w:rsidRPr="00F90D94">
        <w:rPr>
          <w:sz w:val="22"/>
          <w:szCs w:val="22"/>
          <w:lang w:val="en-ID"/>
        </w:rPr>
        <w:t xml:space="preserve"> </w:t>
      </w:r>
      <w:proofErr w:type="spellStart"/>
      <w:r w:rsidRPr="00F90D94">
        <w:rPr>
          <w:sz w:val="22"/>
          <w:szCs w:val="22"/>
          <w:lang w:val="en-ID"/>
        </w:rPr>
        <w:t>mampu</w:t>
      </w:r>
      <w:proofErr w:type="spellEnd"/>
      <w:r w:rsidRPr="00F90D94">
        <w:rPr>
          <w:sz w:val="22"/>
          <w:szCs w:val="22"/>
          <w:lang w:val="en-ID"/>
        </w:rPr>
        <w:t xml:space="preserve"> </w:t>
      </w:r>
      <w:proofErr w:type="spellStart"/>
      <w:r w:rsidRPr="00F90D94">
        <w:rPr>
          <w:sz w:val="22"/>
          <w:szCs w:val="22"/>
          <w:lang w:val="en-ID"/>
        </w:rPr>
        <w:t>mempercepat</w:t>
      </w:r>
      <w:proofErr w:type="spellEnd"/>
      <w:r w:rsidRPr="00F90D94">
        <w:rPr>
          <w:sz w:val="22"/>
          <w:szCs w:val="22"/>
          <w:lang w:val="en-ID"/>
        </w:rPr>
        <w:t xml:space="preserve"> </w:t>
      </w:r>
      <w:proofErr w:type="spellStart"/>
      <w:r w:rsidRPr="00F90D94">
        <w:rPr>
          <w:sz w:val="22"/>
          <w:szCs w:val="22"/>
          <w:lang w:val="en-ID"/>
        </w:rPr>
        <w:t>identifikasi</w:t>
      </w:r>
      <w:proofErr w:type="spellEnd"/>
      <w:r w:rsidRPr="00F90D94">
        <w:rPr>
          <w:sz w:val="22"/>
          <w:szCs w:val="22"/>
          <w:lang w:val="en-ID"/>
        </w:rPr>
        <w:t xml:space="preserve"> </w:t>
      </w:r>
      <w:proofErr w:type="spellStart"/>
      <w:r w:rsidRPr="00F90D94">
        <w:rPr>
          <w:sz w:val="22"/>
          <w:szCs w:val="22"/>
          <w:lang w:val="en-ID"/>
        </w:rPr>
        <w:t>calon</w:t>
      </w:r>
      <w:proofErr w:type="spellEnd"/>
      <w:r w:rsidRPr="00F90D94">
        <w:rPr>
          <w:sz w:val="22"/>
          <w:szCs w:val="22"/>
          <w:lang w:val="en-ID"/>
        </w:rPr>
        <w:t xml:space="preserve"> </w:t>
      </w:r>
      <w:proofErr w:type="spellStart"/>
      <w:r w:rsidRPr="00F90D94">
        <w:rPr>
          <w:sz w:val="22"/>
          <w:szCs w:val="22"/>
          <w:lang w:val="en-ID"/>
        </w:rPr>
        <w:t>senyawa</w:t>
      </w:r>
      <w:proofErr w:type="spellEnd"/>
      <w:r w:rsidRPr="00F90D94">
        <w:rPr>
          <w:sz w:val="22"/>
          <w:szCs w:val="22"/>
          <w:lang w:val="en-ID"/>
        </w:rPr>
        <w:t xml:space="preserve"> </w:t>
      </w:r>
      <w:proofErr w:type="spellStart"/>
      <w:r w:rsidRPr="00F90D94">
        <w:rPr>
          <w:sz w:val="22"/>
          <w:szCs w:val="22"/>
          <w:lang w:val="en-ID"/>
        </w:rPr>
        <w:t>obat</w:t>
      </w:r>
      <w:proofErr w:type="spellEnd"/>
      <w:r w:rsidRPr="00F90D94">
        <w:rPr>
          <w:sz w:val="22"/>
          <w:szCs w:val="22"/>
          <w:lang w:val="en-ID"/>
        </w:rPr>
        <w:t xml:space="preserve"> </w:t>
      </w:r>
      <w:proofErr w:type="spellStart"/>
      <w:r w:rsidRPr="00F90D94">
        <w:rPr>
          <w:sz w:val="22"/>
          <w:szCs w:val="22"/>
          <w:lang w:val="en-ID"/>
        </w:rPr>
        <w:t>dengan</w:t>
      </w:r>
      <w:proofErr w:type="spellEnd"/>
      <w:r w:rsidRPr="00F90D94">
        <w:rPr>
          <w:sz w:val="22"/>
          <w:szCs w:val="22"/>
          <w:lang w:val="en-ID"/>
        </w:rPr>
        <w:t xml:space="preserve"> </w:t>
      </w:r>
      <w:proofErr w:type="spellStart"/>
      <w:r w:rsidRPr="00F90D94">
        <w:rPr>
          <w:sz w:val="22"/>
          <w:szCs w:val="22"/>
          <w:lang w:val="en-ID"/>
        </w:rPr>
        <w:t>biaya</w:t>
      </w:r>
      <w:proofErr w:type="spellEnd"/>
      <w:r w:rsidRPr="00F90D94">
        <w:rPr>
          <w:sz w:val="22"/>
          <w:szCs w:val="22"/>
          <w:lang w:val="en-ID"/>
        </w:rPr>
        <w:t xml:space="preserve"> yang </w:t>
      </w:r>
      <w:proofErr w:type="spellStart"/>
      <w:r w:rsidRPr="00F90D94">
        <w:rPr>
          <w:sz w:val="22"/>
          <w:szCs w:val="22"/>
          <w:lang w:val="en-ID"/>
        </w:rPr>
        <w:t>lebih</w:t>
      </w:r>
      <w:proofErr w:type="spellEnd"/>
      <w:r w:rsidRPr="00F90D94">
        <w:rPr>
          <w:sz w:val="22"/>
          <w:szCs w:val="22"/>
          <w:lang w:val="en-ID"/>
        </w:rPr>
        <w:t xml:space="preserve"> </w:t>
      </w:r>
      <w:proofErr w:type="spellStart"/>
      <w:r w:rsidRPr="00F90D94">
        <w:rPr>
          <w:sz w:val="22"/>
          <w:szCs w:val="22"/>
          <w:lang w:val="en-ID"/>
        </w:rPr>
        <w:t>rendah</w:t>
      </w:r>
      <w:proofErr w:type="spellEnd"/>
      <w:r w:rsidRPr="00F90D94">
        <w:rPr>
          <w:sz w:val="22"/>
          <w:szCs w:val="22"/>
          <w:lang w:val="en-ID"/>
        </w:rPr>
        <w:t xml:space="preserve"> </w:t>
      </w:r>
      <w:proofErr w:type="spellStart"/>
      <w:r w:rsidRPr="00F90D94">
        <w:rPr>
          <w:sz w:val="22"/>
          <w:szCs w:val="22"/>
          <w:lang w:val="en-ID"/>
        </w:rPr>
        <w:t>dibandingkan</w:t>
      </w:r>
      <w:proofErr w:type="spellEnd"/>
      <w:r w:rsidRPr="00F90D94">
        <w:rPr>
          <w:sz w:val="22"/>
          <w:szCs w:val="22"/>
          <w:lang w:val="en-ID"/>
        </w:rPr>
        <w:t xml:space="preserve"> </w:t>
      </w:r>
      <w:proofErr w:type="spellStart"/>
      <w:r w:rsidRPr="00F90D94">
        <w:rPr>
          <w:sz w:val="22"/>
          <w:szCs w:val="22"/>
          <w:lang w:val="en-ID"/>
        </w:rPr>
        <w:t>metode</w:t>
      </w:r>
      <w:proofErr w:type="spellEnd"/>
      <w:r w:rsidRPr="00F90D94">
        <w:rPr>
          <w:sz w:val="22"/>
          <w:szCs w:val="22"/>
          <w:lang w:val="en-ID"/>
        </w:rPr>
        <w:t xml:space="preserve"> </w:t>
      </w:r>
      <w:proofErr w:type="spellStart"/>
      <w:r w:rsidRPr="00F90D94">
        <w:rPr>
          <w:sz w:val="22"/>
          <w:szCs w:val="22"/>
          <w:lang w:val="en-ID"/>
        </w:rPr>
        <w:t>eksperimental</w:t>
      </w:r>
      <w:proofErr w:type="spellEnd"/>
      <w:r w:rsidRPr="00F90D94">
        <w:rPr>
          <w:sz w:val="22"/>
          <w:szCs w:val="22"/>
          <w:lang w:val="en-ID"/>
        </w:rPr>
        <w:t xml:space="preserve"> </w:t>
      </w:r>
      <w:proofErr w:type="spellStart"/>
      <w:r w:rsidRPr="00F90D94">
        <w:rPr>
          <w:sz w:val="22"/>
          <w:szCs w:val="22"/>
          <w:lang w:val="en-ID"/>
        </w:rPr>
        <w:t>tradisional</w:t>
      </w:r>
      <w:proofErr w:type="spellEnd"/>
      <w:r w:rsidRPr="00F90D94">
        <w:rPr>
          <w:sz w:val="22"/>
          <w:szCs w:val="22"/>
          <w:lang w:val="en-ID"/>
        </w:rPr>
        <w:t xml:space="preserve"> </w:t>
      </w:r>
      <w:proofErr w:type="spellStart"/>
      <w:r w:rsidRPr="00F90D94">
        <w:rPr>
          <w:sz w:val="22"/>
          <w:szCs w:val="22"/>
          <w:lang w:val="en-ID"/>
        </w:rPr>
        <w:t>seperti</w:t>
      </w:r>
      <w:proofErr w:type="spellEnd"/>
      <w:r w:rsidRPr="00F90D94">
        <w:rPr>
          <w:sz w:val="22"/>
          <w:szCs w:val="22"/>
          <w:lang w:val="en-ID"/>
        </w:rPr>
        <w:t xml:space="preserve"> </w:t>
      </w:r>
      <w:r w:rsidRPr="00F90D94">
        <w:rPr>
          <w:i/>
          <w:iCs/>
          <w:sz w:val="22"/>
          <w:szCs w:val="22"/>
          <w:lang w:val="en-ID"/>
        </w:rPr>
        <w:t>high-throughput screening</w:t>
      </w:r>
      <w:r w:rsidRPr="00F90D94">
        <w:rPr>
          <w:sz w:val="22"/>
          <w:szCs w:val="22"/>
          <w:lang w:val="en-ID"/>
        </w:rPr>
        <w:t xml:space="preserve">. </w:t>
      </w:r>
      <w:proofErr w:type="spellStart"/>
      <w:r w:rsidRPr="00F90D94">
        <w:rPr>
          <w:sz w:val="22"/>
          <w:szCs w:val="22"/>
          <w:lang w:val="en-ID"/>
        </w:rPr>
        <w:t>Dengan</w:t>
      </w:r>
      <w:proofErr w:type="spellEnd"/>
      <w:r w:rsidRPr="00F90D94">
        <w:rPr>
          <w:sz w:val="22"/>
          <w:szCs w:val="22"/>
          <w:lang w:val="en-ID"/>
        </w:rPr>
        <w:t xml:space="preserve"> </w:t>
      </w:r>
      <w:proofErr w:type="spellStart"/>
      <w:r w:rsidRPr="00F90D94">
        <w:rPr>
          <w:sz w:val="22"/>
          <w:szCs w:val="22"/>
          <w:lang w:val="en-ID"/>
        </w:rPr>
        <w:t>bantuan</w:t>
      </w:r>
      <w:proofErr w:type="spellEnd"/>
      <w:r w:rsidRPr="00F90D94">
        <w:rPr>
          <w:sz w:val="22"/>
          <w:szCs w:val="22"/>
          <w:lang w:val="en-ID"/>
        </w:rPr>
        <w:t xml:space="preserve"> </w:t>
      </w:r>
      <w:proofErr w:type="spellStart"/>
      <w:r w:rsidRPr="00F90D94">
        <w:rPr>
          <w:sz w:val="22"/>
          <w:szCs w:val="22"/>
          <w:lang w:val="en-ID"/>
        </w:rPr>
        <w:t>perangkat</w:t>
      </w:r>
      <w:proofErr w:type="spellEnd"/>
      <w:r w:rsidRPr="00F90D94">
        <w:rPr>
          <w:sz w:val="22"/>
          <w:szCs w:val="22"/>
          <w:lang w:val="en-ID"/>
        </w:rPr>
        <w:t xml:space="preserve"> </w:t>
      </w:r>
      <w:proofErr w:type="spellStart"/>
      <w:r w:rsidRPr="00F90D94">
        <w:rPr>
          <w:sz w:val="22"/>
          <w:szCs w:val="22"/>
          <w:lang w:val="en-ID"/>
        </w:rPr>
        <w:t>lunak</w:t>
      </w:r>
      <w:proofErr w:type="spellEnd"/>
      <w:r w:rsidRPr="00F90D94">
        <w:rPr>
          <w:sz w:val="22"/>
          <w:szCs w:val="22"/>
          <w:lang w:val="en-ID"/>
        </w:rPr>
        <w:t xml:space="preserve"> </w:t>
      </w:r>
      <w:proofErr w:type="spellStart"/>
      <w:r w:rsidRPr="00F90D94">
        <w:rPr>
          <w:sz w:val="22"/>
          <w:szCs w:val="22"/>
          <w:lang w:val="en-ID"/>
        </w:rPr>
        <w:t>berbasis</w:t>
      </w:r>
      <w:proofErr w:type="spellEnd"/>
      <w:r w:rsidRPr="00F90D94">
        <w:rPr>
          <w:sz w:val="22"/>
          <w:szCs w:val="22"/>
          <w:lang w:val="en-ID"/>
        </w:rPr>
        <w:t xml:space="preserve"> </w:t>
      </w:r>
      <w:proofErr w:type="spellStart"/>
      <w:r w:rsidRPr="00F90D94">
        <w:rPr>
          <w:sz w:val="22"/>
          <w:szCs w:val="22"/>
          <w:lang w:val="en-ID"/>
        </w:rPr>
        <w:t>algoritma</w:t>
      </w:r>
      <w:proofErr w:type="spellEnd"/>
      <w:r w:rsidRPr="00F90D94">
        <w:rPr>
          <w:sz w:val="22"/>
          <w:szCs w:val="22"/>
          <w:lang w:val="en-ID"/>
        </w:rPr>
        <w:t xml:space="preserve"> </w:t>
      </w:r>
      <w:proofErr w:type="spellStart"/>
      <w:r w:rsidRPr="00F90D94">
        <w:rPr>
          <w:sz w:val="22"/>
          <w:szCs w:val="22"/>
          <w:lang w:val="en-ID"/>
        </w:rPr>
        <w:t>seperti</w:t>
      </w:r>
      <w:proofErr w:type="spellEnd"/>
      <w:r w:rsidRPr="00F90D94">
        <w:rPr>
          <w:sz w:val="22"/>
          <w:szCs w:val="22"/>
          <w:lang w:val="en-ID"/>
        </w:rPr>
        <w:t xml:space="preserve"> </w:t>
      </w:r>
      <w:proofErr w:type="spellStart"/>
      <w:r w:rsidRPr="00F90D94">
        <w:rPr>
          <w:sz w:val="22"/>
          <w:szCs w:val="22"/>
          <w:lang w:val="en-ID"/>
        </w:rPr>
        <w:t>AutoDock</w:t>
      </w:r>
      <w:proofErr w:type="spellEnd"/>
      <w:r w:rsidRPr="00F90D94">
        <w:rPr>
          <w:sz w:val="22"/>
          <w:szCs w:val="22"/>
          <w:lang w:val="en-ID"/>
        </w:rPr>
        <w:t xml:space="preserve">, Dock, </w:t>
      </w:r>
      <w:proofErr w:type="spellStart"/>
      <w:r w:rsidRPr="00F90D94">
        <w:rPr>
          <w:sz w:val="22"/>
          <w:szCs w:val="22"/>
          <w:lang w:val="en-ID"/>
        </w:rPr>
        <w:t>atau</w:t>
      </w:r>
      <w:proofErr w:type="spellEnd"/>
      <w:r w:rsidRPr="00F90D94">
        <w:rPr>
          <w:sz w:val="22"/>
          <w:szCs w:val="22"/>
          <w:lang w:val="en-ID"/>
        </w:rPr>
        <w:t xml:space="preserve"> MOE, </w:t>
      </w:r>
      <w:r w:rsidR="0038409E" w:rsidRPr="0038409E">
        <w:rPr>
          <w:i/>
          <w:iCs/>
          <w:sz w:val="22"/>
          <w:szCs w:val="22"/>
          <w:lang w:val="en-ID"/>
        </w:rPr>
        <w:t>molecular docking</w:t>
      </w:r>
      <w:r w:rsidRPr="00F90D94">
        <w:rPr>
          <w:sz w:val="22"/>
          <w:szCs w:val="22"/>
          <w:lang w:val="en-ID"/>
        </w:rPr>
        <w:t xml:space="preserve"> </w:t>
      </w:r>
      <w:proofErr w:type="spellStart"/>
      <w:r w:rsidRPr="00F90D94">
        <w:rPr>
          <w:sz w:val="22"/>
          <w:szCs w:val="22"/>
          <w:lang w:val="en-ID"/>
        </w:rPr>
        <w:t>memungkinkan</w:t>
      </w:r>
      <w:proofErr w:type="spellEnd"/>
      <w:r w:rsidRPr="00F90D94">
        <w:rPr>
          <w:sz w:val="22"/>
          <w:szCs w:val="22"/>
          <w:lang w:val="en-ID"/>
        </w:rPr>
        <w:t xml:space="preserve"> </w:t>
      </w:r>
      <w:proofErr w:type="spellStart"/>
      <w:r w:rsidRPr="00F90D94">
        <w:rPr>
          <w:sz w:val="22"/>
          <w:szCs w:val="22"/>
          <w:lang w:val="en-ID"/>
        </w:rPr>
        <w:t>simulasi</w:t>
      </w:r>
      <w:proofErr w:type="spellEnd"/>
      <w:r w:rsidRPr="00F90D94">
        <w:rPr>
          <w:sz w:val="22"/>
          <w:szCs w:val="22"/>
          <w:lang w:val="en-ID"/>
        </w:rPr>
        <w:t xml:space="preserve"> </w:t>
      </w:r>
      <w:proofErr w:type="spellStart"/>
      <w:r w:rsidRPr="00F90D94">
        <w:rPr>
          <w:sz w:val="22"/>
          <w:szCs w:val="22"/>
          <w:lang w:val="en-ID"/>
        </w:rPr>
        <w:t>interaksi</w:t>
      </w:r>
      <w:proofErr w:type="spellEnd"/>
      <w:r w:rsidRPr="00F90D94">
        <w:rPr>
          <w:sz w:val="22"/>
          <w:szCs w:val="22"/>
          <w:lang w:val="en-ID"/>
        </w:rPr>
        <w:t xml:space="preserve"> </w:t>
      </w:r>
      <w:proofErr w:type="spellStart"/>
      <w:r w:rsidRPr="00F90D94">
        <w:rPr>
          <w:sz w:val="22"/>
          <w:szCs w:val="22"/>
          <w:lang w:val="en-ID"/>
        </w:rPr>
        <w:t>molekul</w:t>
      </w:r>
      <w:proofErr w:type="spellEnd"/>
      <w:r w:rsidRPr="00F90D94">
        <w:rPr>
          <w:sz w:val="22"/>
          <w:szCs w:val="22"/>
          <w:lang w:val="en-ID"/>
        </w:rPr>
        <w:t xml:space="preserve"> </w:t>
      </w:r>
      <w:proofErr w:type="spellStart"/>
      <w:r w:rsidRPr="00F90D94">
        <w:rPr>
          <w:sz w:val="22"/>
          <w:szCs w:val="22"/>
          <w:lang w:val="en-ID"/>
        </w:rPr>
        <w:t>secara</w:t>
      </w:r>
      <w:proofErr w:type="spellEnd"/>
      <w:r w:rsidRPr="00F90D94">
        <w:rPr>
          <w:sz w:val="22"/>
          <w:szCs w:val="22"/>
          <w:lang w:val="en-ID"/>
        </w:rPr>
        <w:t xml:space="preserve"> virtual, </w:t>
      </w:r>
      <w:proofErr w:type="spellStart"/>
      <w:r w:rsidRPr="00F90D94">
        <w:rPr>
          <w:sz w:val="22"/>
          <w:szCs w:val="22"/>
          <w:lang w:val="en-ID"/>
        </w:rPr>
        <w:t>memberikan</w:t>
      </w:r>
      <w:proofErr w:type="spellEnd"/>
      <w:r w:rsidRPr="00F90D94">
        <w:rPr>
          <w:sz w:val="22"/>
          <w:szCs w:val="22"/>
          <w:lang w:val="en-ID"/>
        </w:rPr>
        <w:t xml:space="preserve"> </w:t>
      </w:r>
      <w:proofErr w:type="spellStart"/>
      <w:r w:rsidRPr="00F90D94">
        <w:rPr>
          <w:sz w:val="22"/>
          <w:szCs w:val="22"/>
          <w:lang w:val="en-ID"/>
        </w:rPr>
        <w:t>gambaran</w:t>
      </w:r>
      <w:proofErr w:type="spellEnd"/>
      <w:r w:rsidRPr="00F90D94">
        <w:rPr>
          <w:sz w:val="22"/>
          <w:szCs w:val="22"/>
          <w:lang w:val="en-ID"/>
        </w:rPr>
        <w:t xml:space="preserve"> </w:t>
      </w:r>
      <w:proofErr w:type="spellStart"/>
      <w:r w:rsidRPr="00F90D94">
        <w:rPr>
          <w:sz w:val="22"/>
          <w:szCs w:val="22"/>
          <w:lang w:val="en-ID"/>
        </w:rPr>
        <w:t>kuantitatif</w:t>
      </w:r>
      <w:proofErr w:type="spellEnd"/>
      <w:r w:rsidRPr="00F90D94">
        <w:rPr>
          <w:sz w:val="22"/>
          <w:szCs w:val="22"/>
          <w:lang w:val="en-ID"/>
        </w:rPr>
        <w:t xml:space="preserve"> </w:t>
      </w:r>
      <w:proofErr w:type="spellStart"/>
      <w:r w:rsidRPr="00F90D94">
        <w:rPr>
          <w:sz w:val="22"/>
          <w:szCs w:val="22"/>
          <w:lang w:val="en-ID"/>
        </w:rPr>
        <w:t>tentang</w:t>
      </w:r>
      <w:proofErr w:type="spellEnd"/>
      <w:r w:rsidRPr="00F90D94">
        <w:rPr>
          <w:sz w:val="22"/>
          <w:szCs w:val="22"/>
          <w:lang w:val="en-ID"/>
        </w:rPr>
        <w:t xml:space="preserve"> </w:t>
      </w:r>
      <w:proofErr w:type="spellStart"/>
      <w:r w:rsidRPr="00F90D94">
        <w:rPr>
          <w:sz w:val="22"/>
          <w:szCs w:val="22"/>
          <w:lang w:val="en-ID"/>
        </w:rPr>
        <w:t>kekuatan</w:t>
      </w:r>
      <w:proofErr w:type="spellEnd"/>
      <w:r w:rsidRPr="00F90D94">
        <w:rPr>
          <w:sz w:val="22"/>
          <w:szCs w:val="22"/>
          <w:lang w:val="en-ID"/>
        </w:rPr>
        <w:t xml:space="preserve"> </w:t>
      </w:r>
      <w:proofErr w:type="spellStart"/>
      <w:r w:rsidRPr="00F90D94">
        <w:rPr>
          <w:sz w:val="22"/>
          <w:szCs w:val="22"/>
          <w:lang w:val="en-ID"/>
        </w:rPr>
        <w:t>interaksi</w:t>
      </w:r>
      <w:proofErr w:type="spellEnd"/>
      <w:r w:rsidRPr="00F90D94">
        <w:rPr>
          <w:sz w:val="22"/>
          <w:szCs w:val="22"/>
          <w:lang w:val="en-ID"/>
        </w:rPr>
        <w:t xml:space="preserve"> </w:t>
      </w:r>
      <w:proofErr w:type="spellStart"/>
      <w:r w:rsidRPr="00F90D94">
        <w:rPr>
          <w:sz w:val="22"/>
          <w:szCs w:val="22"/>
          <w:lang w:val="en-ID"/>
        </w:rPr>
        <w:t>melalui</w:t>
      </w:r>
      <w:proofErr w:type="spellEnd"/>
      <w:r w:rsidRPr="00F90D94">
        <w:rPr>
          <w:sz w:val="22"/>
          <w:szCs w:val="22"/>
          <w:lang w:val="en-ID"/>
        </w:rPr>
        <w:t xml:space="preserve"> parameter </w:t>
      </w:r>
      <w:proofErr w:type="spellStart"/>
      <w:r w:rsidRPr="00F90D94">
        <w:rPr>
          <w:sz w:val="22"/>
          <w:szCs w:val="22"/>
          <w:lang w:val="en-ID"/>
        </w:rPr>
        <w:t>seperti</w:t>
      </w:r>
      <w:proofErr w:type="spellEnd"/>
      <w:r w:rsidRPr="00F90D94">
        <w:rPr>
          <w:sz w:val="22"/>
          <w:szCs w:val="22"/>
          <w:lang w:val="en-ID"/>
        </w:rPr>
        <w:t xml:space="preserve"> </w:t>
      </w:r>
      <w:r w:rsidRPr="00F90D94">
        <w:rPr>
          <w:i/>
          <w:iCs/>
          <w:sz w:val="22"/>
          <w:szCs w:val="22"/>
          <w:lang w:val="en-ID"/>
        </w:rPr>
        <w:t>binding affinity</w:t>
      </w:r>
      <w:r w:rsidRPr="00F90D94">
        <w:rPr>
          <w:sz w:val="22"/>
          <w:szCs w:val="22"/>
          <w:lang w:val="en-ID"/>
        </w:rPr>
        <w:t xml:space="preserve"> dan </w:t>
      </w:r>
      <w:proofErr w:type="spellStart"/>
      <w:r w:rsidRPr="00F90D94">
        <w:rPr>
          <w:sz w:val="22"/>
          <w:szCs w:val="22"/>
          <w:lang w:val="en-ID"/>
        </w:rPr>
        <w:t>energi</w:t>
      </w:r>
      <w:proofErr w:type="spellEnd"/>
      <w:r w:rsidRPr="00F90D94">
        <w:rPr>
          <w:sz w:val="22"/>
          <w:szCs w:val="22"/>
          <w:lang w:val="en-ID"/>
        </w:rPr>
        <w:t xml:space="preserve"> </w:t>
      </w:r>
      <w:proofErr w:type="spellStart"/>
      <w:r w:rsidRPr="00F90D94">
        <w:rPr>
          <w:sz w:val="22"/>
          <w:szCs w:val="22"/>
          <w:lang w:val="en-ID"/>
        </w:rPr>
        <w:t>bebas</w:t>
      </w:r>
      <w:proofErr w:type="spellEnd"/>
      <w:r w:rsidRPr="00F90D94">
        <w:rPr>
          <w:sz w:val="22"/>
          <w:szCs w:val="22"/>
          <w:lang w:val="en-ID"/>
        </w:rPr>
        <w:t xml:space="preserve"> </w:t>
      </w:r>
      <w:proofErr w:type="spellStart"/>
      <w:r w:rsidRPr="00F90D94">
        <w:rPr>
          <w:sz w:val="22"/>
          <w:szCs w:val="22"/>
          <w:lang w:val="en-ID"/>
        </w:rPr>
        <w:t>ikatan</w:t>
      </w:r>
      <w:proofErr w:type="spellEnd"/>
      <w:r w:rsidRPr="00F90D94">
        <w:rPr>
          <w:sz w:val="22"/>
          <w:szCs w:val="22"/>
          <w:lang w:val="en-ID"/>
        </w:rPr>
        <w:t xml:space="preserve"> (</w:t>
      </w:r>
      <w:r w:rsidRPr="00F90D94">
        <w:rPr>
          <w:i/>
          <w:iCs/>
          <w:sz w:val="22"/>
          <w:szCs w:val="22"/>
          <w:lang w:val="en-ID"/>
        </w:rPr>
        <w:t>binding free energy</w:t>
      </w:r>
      <w:r w:rsidRPr="00F90D94">
        <w:rPr>
          <w:sz w:val="22"/>
          <w:szCs w:val="22"/>
          <w:lang w:val="en-ID"/>
        </w:rPr>
        <w:t>)</w:t>
      </w:r>
      <w:r>
        <w:rPr>
          <w:sz w:val="22"/>
          <w:szCs w:val="22"/>
          <w:lang w:val="en-ID"/>
        </w:rPr>
        <w:t xml:space="preserve"> </w:t>
      </w:r>
      <w:r>
        <w:rPr>
          <w:sz w:val="22"/>
          <w:szCs w:val="22"/>
          <w:lang w:val="en-ID"/>
        </w:rPr>
        <w:fldChar w:fldCharType="begin" w:fldLock="1"/>
      </w:r>
      <w:r w:rsidR="00681E51">
        <w:rPr>
          <w:sz w:val="22"/>
          <w:szCs w:val="22"/>
          <w:lang w:val="en-ID"/>
        </w:rPr>
        <w:instrText>ADDIN CSL_CITATION {"citationItems":[{"id":"ITEM-1","itemData":{"DOI":"10.1080/07391102.2021.1959405","ISSN":"1538-0254 (Electronic)","PMID":"34338602","abstract":"The target for COVID-19 has been successfully crystallized along with its inhibitor,  named SARS-CoV-2 main protease, making it easier for drug discovery and development. Sponge (Clathria Sp.) is a marine species that can be found in Indonesia and has a unique chemical structure that is still rarely explored in its properties. Therefore, this study aims to examined the potential of marine natural products from sponge (Clathria Sp.) as SARS-CoV-2 main protease inhibitor using in silico method. The ligand structures were obtained from the Knapsack database and the protein structure obtained from the RCSB site with the PDB code: 6LU7. The molecular docking method was validated by re-docked the native ligand and calculated the RMSD value. The compounds contained in Sponge were docked into the active site of the protein based on the validated methods. Afterward, the molecular dynamics were performed for 100 ns simulation, then analyzed its system complex stability. The RMSD 1.329 Å was obtained by re-docked of native ligand which indicates that the docking method was valid. Molecular docking of the ligands showed mirabilin_G has binding energy -7.38 kcal/mol, compared to the native ligand N3 inhibitor that is -7.30 kcal/mol, and the ligand showed good stability from molecular dynamics simulation indicated by RMSD, RMSF and MM-PBSA binding free energy similar to the inhibitor during 100 ns simulation. Its indicated the potential of the compounds contained in the sponge as inhibitor of SARS-CoV-2 main protease.Communicated by Ramaswamy H. Sarma.","author":[{"dropping-particle":"","family":"Ramadhan","given":"Dwi Syah Fitra","non-dropping-particle":"","parse-names":false,"suffix":""},{"dropping-particle":"","family":"Siharis","given":"Fatmasari","non-dropping-particle":"","parse-names":false,"suffix":""},{"dropping-particle":"","family":"Abdurrahman","given":"Syawal","non-dropping-particle":"","parse-names":false,"suffix":""},{"dropping-particle":"","family":"Isrul","given":"Muhammad","non-dropping-particle":"","parse-names":false,"suffix":""},{"dropping-particle":"","family":"Fakih","given":"Taufik Muhammad","non-dropping-particle":"","parse-names":false,"suffix":""}],"container-title":"Journal of biomolecular structure &amp; dynamics","id":"ITEM-1","issued":{"date-parts":[["2021","8"]]},"language":"eng","page":"1-7","publisher-place":"England","title":"In silico analysis of marine natural product from sponge (Clathria Sp.) for their  activity as inhibitor of SARS-CoV-2 Main Protease.","type":"article-journal"},"uris":["http://www.mendeley.com/documents/?uuid=a7b891a0-2225-4bbd-b704-4565c38ef5f3"]}],"mendeley":{"formattedCitation":"(Ramadhan et al., 2021)","plainTextFormattedCitation":"(Ramadhan et al., 2021)","previouslyFormattedCitation":"(Ramadhan et al., 2021)"},"properties":{"noteIndex":0},"schema":"https://github.com/citation-style-language/schema/raw/master/csl-citation.json"}</w:instrText>
      </w:r>
      <w:r>
        <w:rPr>
          <w:sz w:val="22"/>
          <w:szCs w:val="22"/>
          <w:lang w:val="en-ID"/>
        </w:rPr>
        <w:fldChar w:fldCharType="separate"/>
      </w:r>
      <w:r w:rsidRPr="00F90D94">
        <w:rPr>
          <w:noProof/>
          <w:sz w:val="22"/>
          <w:szCs w:val="22"/>
          <w:lang w:val="en-ID"/>
        </w:rPr>
        <w:t>(Ramadhan et al., 2021)</w:t>
      </w:r>
      <w:r>
        <w:rPr>
          <w:sz w:val="22"/>
          <w:szCs w:val="22"/>
          <w:lang w:val="en-ID"/>
        </w:rPr>
        <w:fldChar w:fldCharType="end"/>
      </w:r>
      <w:r w:rsidRPr="00F90D94">
        <w:rPr>
          <w:sz w:val="22"/>
          <w:szCs w:val="22"/>
          <w:lang w:val="en-ID"/>
        </w:rPr>
        <w:t>.</w:t>
      </w:r>
    </w:p>
    <w:p w14:paraId="1AED4E7D" w14:textId="77777777" w:rsidR="00A12DB7" w:rsidRDefault="00B21BAF" w:rsidP="00B21BAF">
      <w:pPr>
        <w:spacing w:line="360" w:lineRule="auto"/>
        <w:ind w:firstLine="284"/>
        <w:jc w:val="both"/>
        <w:rPr>
          <w:sz w:val="22"/>
          <w:szCs w:val="22"/>
        </w:rPr>
      </w:pPr>
      <w:r w:rsidRPr="00B21BAF">
        <w:rPr>
          <w:sz w:val="22"/>
          <w:szCs w:val="22"/>
        </w:rPr>
        <w:t xml:space="preserve">Oleh </w:t>
      </w:r>
      <w:proofErr w:type="spellStart"/>
      <w:r w:rsidRPr="00B21BAF">
        <w:rPr>
          <w:sz w:val="22"/>
          <w:szCs w:val="22"/>
        </w:rPr>
        <w:t>karena</w:t>
      </w:r>
      <w:proofErr w:type="spellEnd"/>
      <w:r w:rsidRPr="00B21BAF">
        <w:rPr>
          <w:sz w:val="22"/>
          <w:szCs w:val="22"/>
        </w:rPr>
        <w:t xml:space="preserve"> </w:t>
      </w:r>
      <w:proofErr w:type="spellStart"/>
      <w:r w:rsidRPr="00B21BAF">
        <w:rPr>
          <w:sz w:val="22"/>
          <w:szCs w:val="22"/>
        </w:rPr>
        <w:t>itu</w:t>
      </w:r>
      <w:proofErr w:type="spellEnd"/>
      <w:r w:rsidRPr="00B21BAF">
        <w:rPr>
          <w:sz w:val="22"/>
          <w:szCs w:val="22"/>
        </w:rPr>
        <w:t xml:space="preserve">, </w:t>
      </w:r>
      <w:proofErr w:type="spellStart"/>
      <w:r w:rsidRPr="00B21BAF">
        <w:rPr>
          <w:sz w:val="22"/>
          <w:szCs w:val="22"/>
        </w:rPr>
        <w:t>penelitian</w:t>
      </w:r>
      <w:proofErr w:type="spellEnd"/>
      <w:r w:rsidRPr="00B21BAF">
        <w:rPr>
          <w:sz w:val="22"/>
          <w:szCs w:val="22"/>
        </w:rPr>
        <w:t xml:space="preserve"> </w:t>
      </w:r>
      <w:proofErr w:type="spellStart"/>
      <w:r w:rsidRPr="00B21BAF">
        <w:rPr>
          <w:sz w:val="22"/>
          <w:szCs w:val="22"/>
        </w:rPr>
        <w:t>ini</w:t>
      </w:r>
      <w:proofErr w:type="spellEnd"/>
      <w:r w:rsidRPr="00B21BAF">
        <w:rPr>
          <w:sz w:val="22"/>
          <w:szCs w:val="22"/>
        </w:rPr>
        <w:t xml:space="preserve"> </w:t>
      </w:r>
      <w:proofErr w:type="spellStart"/>
      <w:r w:rsidRPr="00B21BAF">
        <w:rPr>
          <w:sz w:val="22"/>
          <w:szCs w:val="22"/>
        </w:rPr>
        <w:t>bertujuan</w:t>
      </w:r>
      <w:proofErr w:type="spellEnd"/>
      <w:r w:rsidRPr="00B21BAF">
        <w:rPr>
          <w:sz w:val="22"/>
          <w:szCs w:val="22"/>
        </w:rPr>
        <w:t xml:space="preserve"> </w:t>
      </w:r>
      <w:proofErr w:type="spellStart"/>
      <w:r w:rsidRPr="00B21BAF">
        <w:rPr>
          <w:sz w:val="22"/>
          <w:szCs w:val="22"/>
        </w:rPr>
        <w:t>untuk</w:t>
      </w:r>
      <w:proofErr w:type="spellEnd"/>
      <w:r w:rsidRPr="00B21BAF">
        <w:rPr>
          <w:sz w:val="22"/>
          <w:szCs w:val="22"/>
        </w:rPr>
        <w:t xml:space="preserve"> </w:t>
      </w:r>
      <w:proofErr w:type="spellStart"/>
      <w:r w:rsidRPr="00B21BAF">
        <w:rPr>
          <w:sz w:val="22"/>
          <w:szCs w:val="22"/>
        </w:rPr>
        <w:t>melakukan</w:t>
      </w:r>
      <w:proofErr w:type="spellEnd"/>
      <w:r w:rsidRPr="00B21BAF">
        <w:rPr>
          <w:sz w:val="22"/>
          <w:szCs w:val="22"/>
        </w:rPr>
        <w:t xml:space="preserve"> </w:t>
      </w:r>
      <w:proofErr w:type="spellStart"/>
      <w:r w:rsidRPr="00B21BAF">
        <w:rPr>
          <w:sz w:val="22"/>
          <w:szCs w:val="22"/>
        </w:rPr>
        <w:t>studi</w:t>
      </w:r>
      <w:proofErr w:type="spellEnd"/>
      <w:r w:rsidRPr="00B21BAF">
        <w:rPr>
          <w:sz w:val="22"/>
          <w:szCs w:val="22"/>
        </w:rPr>
        <w:t xml:space="preserve"> </w:t>
      </w:r>
      <w:r w:rsidR="0038409E" w:rsidRPr="0038409E">
        <w:rPr>
          <w:i/>
          <w:iCs/>
          <w:sz w:val="22"/>
          <w:szCs w:val="22"/>
        </w:rPr>
        <w:t>molecular docking</w:t>
      </w:r>
      <w:r w:rsidRPr="00B21BAF">
        <w:rPr>
          <w:sz w:val="22"/>
          <w:szCs w:val="22"/>
        </w:rPr>
        <w:t xml:space="preserve"> </w:t>
      </w:r>
      <w:proofErr w:type="spellStart"/>
      <w:r w:rsidRPr="00B21BAF">
        <w:rPr>
          <w:sz w:val="22"/>
          <w:szCs w:val="22"/>
        </w:rPr>
        <w:t>dari</w:t>
      </w:r>
      <w:proofErr w:type="spellEnd"/>
      <w:r w:rsidRPr="00B21BAF">
        <w:rPr>
          <w:sz w:val="22"/>
          <w:szCs w:val="22"/>
        </w:rPr>
        <w:t xml:space="preserve"> </w:t>
      </w:r>
      <w:proofErr w:type="spellStart"/>
      <w:r w:rsidRPr="00B21BAF">
        <w:rPr>
          <w:sz w:val="22"/>
          <w:szCs w:val="22"/>
        </w:rPr>
        <w:t>ircinianin</w:t>
      </w:r>
      <w:proofErr w:type="spellEnd"/>
      <w:r w:rsidRPr="00B21BAF">
        <w:rPr>
          <w:sz w:val="22"/>
          <w:szCs w:val="22"/>
        </w:rPr>
        <w:t xml:space="preserve"> </w:t>
      </w:r>
      <w:proofErr w:type="spellStart"/>
      <w:r w:rsidRPr="00B21BAF">
        <w:rPr>
          <w:sz w:val="22"/>
          <w:szCs w:val="22"/>
        </w:rPr>
        <w:t>terhadap</w:t>
      </w:r>
      <w:proofErr w:type="spellEnd"/>
      <w:r w:rsidRPr="00B21BAF">
        <w:rPr>
          <w:sz w:val="22"/>
          <w:szCs w:val="22"/>
        </w:rPr>
        <w:t xml:space="preserve"> </w:t>
      </w:r>
      <w:proofErr w:type="spellStart"/>
      <w:r w:rsidRPr="00B21BAF">
        <w:rPr>
          <w:sz w:val="22"/>
          <w:szCs w:val="22"/>
        </w:rPr>
        <w:t>reseptor</w:t>
      </w:r>
      <w:proofErr w:type="spellEnd"/>
      <w:r w:rsidRPr="00B21BAF">
        <w:rPr>
          <w:sz w:val="22"/>
          <w:szCs w:val="22"/>
        </w:rPr>
        <w:t xml:space="preserve"> SGLT-2 </w:t>
      </w:r>
      <w:proofErr w:type="spellStart"/>
      <w:r w:rsidRPr="00B21BAF">
        <w:rPr>
          <w:sz w:val="22"/>
          <w:szCs w:val="22"/>
        </w:rPr>
        <w:t>guna</w:t>
      </w:r>
      <w:proofErr w:type="spellEnd"/>
      <w:r w:rsidRPr="00B21BAF">
        <w:rPr>
          <w:sz w:val="22"/>
          <w:szCs w:val="22"/>
        </w:rPr>
        <w:t xml:space="preserve"> </w:t>
      </w:r>
      <w:proofErr w:type="spellStart"/>
      <w:r w:rsidRPr="00B21BAF">
        <w:rPr>
          <w:sz w:val="22"/>
          <w:szCs w:val="22"/>
        </w:rPr>
        <w:t>mengeksplorasi</w:t>
      </w:r>
      <w:proofErr w:type="spellEnd"/>
      <w:r w:rsidRPr="00B21BAF">
        <w:rPr>
          <w:sz w:val="22"/>
          <w:szCs w:val="22"/>
        </w:rPr>
        <w:t xml:space="preserve"> </w:t>
      </w:r>
      <w:proofErr w:type="spellStart"/>
      <w:r w:rsidRPr="00B21BAF">
        <w:rPr>
          <w:sz w:val="22"/>
          <w:szCs w:val="22"/>
        </w:rPr>
        <w:t>potensi</w:t>
      </w:r>
      <w:proofErr w:type="spellEnd"/>
      <w:r w:rsidRPr="00B21BAF">
        <w:rPr>
          <w:sz w:val="22"/>
          <w:szCs w:val="22"/>
        </w:rPr>
        <w:t xml:space="preserve"> </w:t>
      </w:r>
      <w:proofErr w:type="spellStart"/>
      <w:r w:rsidRPr="00B21BAF">
        <w:rPr>
          <w:sz w:val="22"/>
          <w:szCs w:val="22"/>
        </w:rPr>
        <w:t>senyawa</w:t>
      </w:r>
      <w:proofErr w:type="spellEnd"/>
      <w:r w:rsidRPr="00B21BAF">
        <w:rPr>
          <w:sz w:val="22"/>
          <w:szCs w:val="22"/>
        </w:rPr>
        <w:t xml:space="preserve"> </w:t>
      </w:r>
      <w:proofErr w:type="spellStart"/>
      <w:r w:rsidRPr="00B21BAF">
        <w:rPr>
          <w:sz w:val="22"/>
          <w:szCs w:val="22"/>
        </w:rPr>
        <w:t>ini</w:t>
      </w:r>
      <w:proofErr w:type="spellEnd"/>
      <w:r w:rsidRPr="00B21BAF">
        <w:rPr>
          <w:sz w:val="22"/>
          <w:szCs w:val="22"/>
        </w:rPr>
        <w:t xml:space="preserve"> </w:t>
      </w:r>
      <w:proofErr w:type="spellStart"/>
      <w:r w:rsidRPr="00B21BAF">
        <w:rPr>
          <w:sz w:val="22"/>
          <w:szCs w:val="22"/>
        </w:rPr>
        <w:t>sebagai</w:t>
      </w:r>
      <w:proofErr w:type="spellEnd"/>
      <w:r w:rsidRPr="00B21BAF">
        <w:rPr>
          <w:sz w:val="22"/>
          <w:szCs w:val="22"/>
        </w:rPr>
        <w:t xml:space="preserve"> inhibitor SGLT-2 yang </w:t>
      </w:r>
      <w:proofErr w:type="spellStart"/>
      <w:r w:rsidRPr="00B21BAF">
        <w:rPr>
          <w:sz w:val="22"/>
          <w:szCs w:val="22"/>
        </w:rPr>
        <w:t>dapat</w:t>
      </w:r>
      <w:proofErr w:type="spellEnd"/>
      <w:r w:rsidRPr="00B21BAF">
        <w:rPr>
          <w:sz w:val="22"/>
          <w:szCs w:val="22"/>
        </w:rPr>
        <w:t xml:space="preserve"> </w:t>
      </w:r>
      <w:proofErr w:type="spellStart"/>
      <w:r w:rsidRPr="00B21BAF">
        <w:rPr>
          <w:sz w:val="22"/>
          <w:szCs w:val="22"/>
        </w:rPr>
        <w:t>digunakan</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pengelolaan</w:t>
      </w:r>
      <w:proofErr w:type="spellEnd"/>
      <w:r w:rsidRPr="00B21BAF">
        <w:rPr>
          <w:sz w:val="22"/>
          <w:szCs w:val="22"/>
        </w:rPr>
        <w:t xml:space="preserve"> diabetes </w:t>
      </w:r>
      <w:proofErr w:type="spellStart"/>
      <w:r w:rsidRPr="00B21BAF">
        <w:rPr>
          <w:sz w:val="22"/>
          <w:szCs w:val="22"/>
        </w:rPr>
        <w:t>tipe</w:t>
      </w:r>
      <w:proofErr w:type="spellEnd"/>
      <w:r w:rsidRPr="00B21BAF">
        <w:rPr>
          <w:sz w:val="22"/>
          <w:szCs w:val="22"/>
        </w:rPr>
        <w:t xml:space="preserve"> 2. </w:t>
      </w:r>
      <w:proofErr w:type="spellStart"/>
      <w:r w:rsidRPr="00B21BAF">
        <w:rPr>
          <w:sz w:val="22"/>
          <w:szCs w:val="22"/>
        </w:rPr>
        <w:t>Dengan</w:t>
      </w:r>
      <w:proofErr w:type="spellEnd"/>
      <w:r w:rsidRPr="00B21BAF">
        <w:rPr>
          <w:sz w:val="22"/>
          <w:szCs w:val="22"/>
        </w:rPr>
        <w:t xml:space="preserve"> </w:t>
      </w:r>
      <w:proofErr w:type="spellStart"/>
      <w:r w:rsidRPr="00B21BAF">
        <w:rPr>
          <w:sz w:val="22"/>
          <w:szCs w:val="22"/>
        </w:rPr>
        <w:t>menggunakan</w:t>
      </w:r>
      <w:proofErr w:type="spellEnd"/>
      <w:r w:rsidRPr="00B21BAF">
        <w:rPr>
          <w:sz w:val="22"/>
          <w:szCs w:val="22"/>
        </w:rPr>
        <w:t xml:space="preserve"> </w:t>
      </w:r>
      <w:proofErr w:type="spellStart"/>
      <w:r w:rsidRPr="00B21BAF">
        <w:rPr>
          <w:sz w:val="22"/>
          <w:szCs w:val="22"/>
        </w:rPr>
        <w:t>teknik</w:t>
      </w:r>
      <w:proofErr w:type="spellEnd"/>
      <w:r w:rsidRPr="00B21BAF">
        <w:rPr>
          <w:sz w:val="22"/>
          <w:szCs w:val="22"/>
        </w:rPr>
        <w:t xml:space="preserve"> docking, </w:t>
      </w:r>
      <w:proofErr w:type="spellStart"/>
      <w:r w:rsidRPr="00B21BAF">
        <w:rPr>
          <w:sz w:val="22"/>
          <w:szCs w:val="22"/>
        </w:rPr>
        <w:t>diharapkan</w:t>
      </w:r>
      <w:proofErr w:type="spellEnd"/>
      <w:r w:rsidRPr="00B21BAF">
        <w:rPr>
          <w:sz w:val="22"/>
          <w:szCs w:val="22"/>
        </w:rPr>
        <w:t xml:space="preserve"> </w:t>
      </w:r>
      <w:proofErr w:type="spellStart"/>
      <w:r w:rsidRPr="00B21BAF">
        <w:rPr>
          <w:sz w:val="22"/>
          <w:szCs w:val="22"/>
        </w:rPr>
        <w:t>dapat</w:t>
      </w:r>
      <w:proofErr w:type="spellEnd"/>
      <w:r w:rsidRPr="00B21BAF">
        <w:rPr>
          <w:sz w:val="22"/>
          <w:szCs w:val="22"/>
        </w:rPr>
        <w:t xml:space="preserve"> </w:t>
      </w:r>
      <w:proofErr w:type="spellStart"/>
      <w:r w:rsidRPr="00B21BAF">
        <w:rPr>
          <w:sz w:val="22"/>
          <w:szCs w:val="22"/>
        </w:rPr>
        <w:t>memberikan</w:t>
      </w:r>
      <w:proofErr w:type="spellEnd"/>
      <w:r w:rsidRPr="00B21BAF">
        <w:rPr>
          <w:sz w:val="22"/>
          <w:szCs w:val="22"/>
        </w:rPr>
        <w:t xml:space="preserve"> </w:t>
      </w:r>
      <w:proofErr w:type="spellStart"/>
      <w:r w:rsidRPr="00B21BAF">
        <w:rPr>
          <w:sz w:val="22"/>
          <w:szCs w:val="22"/>
        </w:rPr>
        <w:t>wawasan</w:t>
      </w:r>
      <w:proofErr w:type="spellEnd"/>
      <w:r w:rsidRPr="00B21BAF">
        <w:rPr>
          <w:sz w:val="22"/>
          <w:szCs w:val="22"/>
        </w:rPr>
        <w:t xml:space="preserve"> </w:t>
      </w:r>
      <w:proofErr w:type="spellStart"/>
      <w:r w:rsidRPr="00B21BAF">
        <w:rPr>
          <w:sz w:val="22"/>
          <w:szCs w:val="22"/>
        </w:rPr>
        <w:t>lebih</w:t>
      </w:r>
      <w:proofErr w:type="spellEnd"/>
      <w:r w:rsidRPr="00B21BAF">
        <w:rPr>
          <w:sz w:val="22"/>
          <w:szCs w:val="22"/>
        </w:rPr>
        <w:t xml:space="preserve"> </w:t>
      </w:r>
      <w:proofErr w:type="spellStart"/>
      <w:r w:rsidRPr="00B21BAF">
        <w:rPr>
          <w:sz w:val="22"/>
          <w:szCs w:val="22"/>
        </w:rPr>
        <w:t>dalam</w:t>
      </w:r>
      <w:proofErr w:type="spellEnd"/>
      <w:r w:rsidRPr="00B21BAF">
        <w:rPr>
          <w:sz w:val="22"/>
          <w:szCs w:val="22"/>
        </w:rPr>
        <w:t xml:space="preserve"> </w:t>
      </w:r>
      <w:proofErr w:type="spellStart"/>
      <w:r w:rsidRPr="00B21BAF">
        <w:rPr>
          <w:sz w:val="22"/>
          <w:szCs w:val="22"/>
        </w:rPr>
        <w:t>mengenai</w:t>
      </w:r>
      <w:proofErr w:type="spellEnd"/>
      <w:r w:rsidRPr="00B21BAF">
        <w:rPr>
          <w:sz w:val="22"/>
          <w:szCs w:val="22"/>
        </w:rPr>
        <w:t xml:space="preserve"> </w:t>
      </w:r>
      <w:proofErr w:type="spellStart"/>
      <w:r w:rsidRPr="00B21BAF">
        <w:rPr>
          <w:sz w:val="22"/>
          <w:szCs w:val="22"/>
        </w:rPr>
        <w:t>interaksi</w:t>
      </w:r>
      <w:proofErr w:type="spellEnd"/>
      <w:r w:rsidRPr="00B21BAF">
        <w:rPr>
          <w:sz w:val="22"/>
          <w:szCs w:val="22"/>
        </w:rPr>
        <w:t xml:space="preserve"> </w:t>
      </w:r>
      <w:proofErr w:type="spellStart"/>
      <w:r w:rsidRPr="00B21BAF">
        <w:rPr>
          <w:sz w:val="22"/>
          <w:szCs w:val="22"/>
        </w:rPr>
        <w:t>antara</w:t>
      </w:r>
      <w:proofErr w:type="spellEnd"/>
      <w:r w:rsidRPr="00B21BAF">
        <w:rPr>
          <w:sz w:val="22"/>
          <w:szCs w:val="22"/>
        </w:rPr>
        <w:t xml:space="preserve"> </w:t>
      </w:r>
      <w:proofErr w:type="spellStart"/>
      <w:r w:rsidRPr="00B21BAF">
        <w:rPr>
          <w:sz w:val="22"/>
          <w:szCs w:val="22"/>
        </w:rPr>
        <w:t>ircinianin</w:t>
      </w:r>
      <w:proofErr w:type="spellEnd"/>
      <w:r w:rsidRPr="00B21BAF">
        <w:rPr>
          <w:sz w:val="22"/>
          <w:szCs w:val="22"/>
        </w:rPr>
        <w:t xml:space="preserve"> dan situs </w:t>
      </w:r>
      <w:proofErr w:type="spellStart"/>
      <w:r w:rsidRPr="00B21BAF">
        <w:rPr>
          <w:sz w:val="22"/>
          <w:szCs w:val="22"/>
        </w:rPr>
        <w:t>aktif</w:t>
      </w:r>
      <w:proofErr w:type="spellEnd"/>
      <w:r w:rsidRPr="00B21BAF">
        <w:rPr>
          <w:sz w:val="22"/>
          <w:szCs w:val="22"/>
        </w:rPr>
        <w:t xml:space="preserve"> pada SGLT-2 </w:t>
      </w:r>
      <w:proofErr w:type="spellStart"/>
      <w:r w:rsidRPr="00B21BAF">
        <w:rPr>
          <w:sz w:val="22"/>
          <w:szCs w:val="22"/>
        </w:rPr>
        <w:t>serta</w:t>
      </w:r>
      <w:proofErr w:type="spellEnd"/>
      <w:r w:rsidRPr="00B21BAF">
        <w:rPr>
          <w:sz w:val="22"/>
          <w:szCs w:val="22"/>
        </w:rPr>
        <w:t xml:space="preserve"> </w:t>
      </w:r>
      <w:proofErr w:type="spellStart"/>
      <w:r w:rsidRPr="00B21BAF">
        <w:rPr>
          <w:sz w:val="22"/>
          <w:szCs w:val="22"/>
        </w:rPr>
        <w:t>memperkirakan</w:t>
      </w:r>
      <w:proofErr w:type="spellEnd"/>
      <w:r w:rsidRPr="00B21BAF">
        <w:rPr>
          <w:sz w:val="22"/>
          <w:szCs w:val="22"/>
        </w:rPr>
        <w:t xml:space="preserve"> </w:t>
      </w:r>
      <w:proofErr w:type="spellStart"/>
      <w:r w:rsidRPr="00B21BAF">
        <w:rPr>
          <w:sz w:val="22"/>
          <w:szCs w:val="22"/>
        </w:rPr>
        <w:t>potensi</w:t>
      </w:r>
      <w:proofErr w:type="spellEnd"/>
      <w:r w:rsidRPr="00B21BAF">
        <w:rPr>
          <w:sz w:val="22"/>
          <w:szCs w:val="22"/>
        </w:rPr>
        <w:t xml:space="preserve"> </w:t>
      </w:r>
      <w:proofErr w:type="spellStart"/>
      <w:r w:rsidRPr="00B21BAF">
        <w:rPr>
          <w:sz w:val="22"/>
          <w:szCs w:val="22"/>
        </w:rPr>
        <w:t>aktivitas</w:t>
      </w:r>
      <w:proofErr w:type="spellEnd"/>
      <w:r w:rsidRPr="00B21BAF">
        <w:rPr>
          <w:sz w:val="22"/>
          <w:szCs w:val="22"/>
        </w:rPr>
        <w:t xml:space="preserve"> </w:t>
      </w:r>
      <w:proofErr w:type="spellStart"/>
      <w:r w:rsidRPr="00B21BAF">
        <w:rPr>
          <w:sz w:val="22"/>
          <w:szCs w:val="22"/>
        </w:rPr>
        <w:t>biologis</w:t>
      </w:r>
      <w:proofErr w:type="spellEnd"/>
      <w:r w:rsidRPr="00B21BAF">
        <w:rPr>
          <w:sz w:val="22"/>
          <w:szCs w:val="22"/>
        </w:rPr>
        <w:t xml:space="preserve"> </w:t>
      </w:r>
      <w:proofErr w:type="spellStart"/>
      <w:r w:rsidRPr="00B21BAF">
        <w:rPr>
          <w:sz w:val="22"/>
          <w:szCs w:val="22"/>
        </w:rPr>
        <w:t>senyawa</w:t>
      </w:r>
      <w:proofErr w:type="spellEnd"/>
      <w:r w:rsidRPr="00B21BAF">
        <w:rPr>
          <w:sz w:val="22"/>
          <w:szCs w:val="22"/>
        </w:rPr>
        <w:t xml:space="preserve"> </w:t>
      </w:r>
      <w:proofErr w:type="spellStart"/>
      <w:r w:rsidRPr="00B21BAF">
        <w:rPr>
          <w:sz w:val="22"/>
          <w:szCs w:val="22"/>
        </w:rPr>
        <w:t>ini</w:t>
      </w:r>
      <w:proofErr w:type="spellEnd"/>
      <w:r w:rsidRPr="00B21BAF">
        <w:rPr>
          <w:sz w:val="22"/>
          <w:szCs w:val="22"/>
        </w:rPr>
        <w:t xml:space="preserve"> </w:t>
      </w:r>
      <w:proofErr w:type="spellStart"/>
      <w:r w:rsidRPr="00B21BAF">
        <w:rPr>
          <w:sz w:val="22"/>
          <w:szCs w:val="22"/>
        </w:rPr>
        <w:t>sebagai</w:t>
      </w:r>
      <w:proofErr w:type="spellEnd"/>
      <w:r w:rsidRPr="00B21BAF">
        <w:rPr>
          <w:sz w:val="22"/>
          <w:szCs w:val="22"/>
        </w:rPr>
        <w:t xml:space="preserve"> </w:t>
      </w:r>
      <w:proofErr w:type="spellStart"/>
      <w:r w:rsidRPr="00B21BAF">
        <w:rPr>
          <w:sz w:val="22"/>
          <w:szCs w:val="22"/>
        </w:rPr>
        <w:t>agen</w:t>
      </w:r>
      <w:proofErr w:type="spellEnd"/>
      <w:r w:rsidRPr="00B21BAF">
        <w:rPr>
          <w:sz w:val="22"/>
          <w:szCs w:val="22"/>
        </w:rPr>
        <w:t xml:space="preserve"> </w:t>
      </w:r>
      <w:proofErr w:type="spellStart"/>
      <w:r w:rsidRPr="00B21BAF">
        <w:rPr>
          <w:sz w:val="22"/>
          <w:szCs w:val="22"/>
        </w:rPr>
        <w:t>terapi</w:t>
      </w:r>
      <w:proofErr w:type="spellEnd"/>
      <w:r w:rsidRPr="00B21BAF">
        <w:rPr>
          <w:sz w:val="22"/>
          <w:szCs w:val="22"/>
        </w:rPr>
        <w:t xml:space="preserve"> diabetes</w:t>
      </w:r>
      <w:r>
        <w:rPr>
          <w:sz w:val="22"/>
          <w:szCs w:val="22"/>
        </w:rPr>
        <w:t>.</w:t>
      </w:r>
    </w:p>
    <w:p w14:paraId="1CE8D719" w14:textId="77777777" w:rsidR="00A12DB7" w:rsidRDefault="00000000">
      <w:pPr>
        <w:spacing w:before="240" w:line="288" w:lineRule="auto"/>
        <w:ind w:right="48"/>
        <w:rPr>
          <w:b/>
          <w:sz w:val="22"/>
          <w:szCs w:val="22"/>
        </w:rPr>
      </w:pPr>
      <w:r>
        <w:rPr>
          <w:b/>
          <w:sz w:val="22"/>
          <w:szCs w:val="22"/>
        </w:rPr>
        <w:lastRenderedPageBreak/>
        <w:t>METODE PENELITIAN</w:t>
      </w:r>
    </w:p>
    <w:p w14:paraId="2B908AB6" w14:textId="77777777" w:rsidR="00CF6366" w:rsidRDefault="00CF6366" w:rsidP="0038742B">
      <w:pPr>
        <w:spacing w:line="288" w:lineRule="auto"/>
        <w:ind w:right="43"/>
        <w:jc w:val="both"/>
        <w:rPr>
          <w:b/>
          <w:bCs/>
          <w:sz w:val="22"/>
          <w:szCs w:val="22"/>
          <w:lang w:val="en-ID"/>
        </w:rPr>
      </w:pPr>
      <w:r>
        <w:rPr>
          <w:b/>
          <w:bCs/>
          <w:sz w:val="22"/>
          <w:szCs w:val="22"/>
          <w:lang w:val="en-ID"/>
        </w:rPr>
        <w:t>Alat dan Bahan</w:t>
      </w:r>
    </w:p>
    <w:p w14:paraId="4D138D4E" w14:textId="5192B864" w:rsidR="00CF6366" w:rsidRPr="00256F0D" w:rsidRDefault="00CF6366" w:rsidP="00256F0D">
      <w:pPr>
        <w:spacing w:line="288" w:lineRule="auto"/>
        <w:ind w:right="43"/>
        <w:jc w:val="both"/>
        <w:rPr>
          <w:sz w:val="22"/>
          <w:szCs w:val="22"/>
          <w:lang w:val="en-ID"/>
        </w:rPr>
      </w:pPr>
      <w:proofErr w:type="spellStart"/>
      <w:r w:rsidRPr="00CF6366">
        <w:rPr>
          <w:sz w:val="22"/>
          <w:szCs w:val="22"/>
        </w:rPr>
        <w:t>Penelitian</w:t>
      </w:r>
      <w:proofErr w:type="spellEnd"/>
      <w:r w:rsidRPr="00CF6366">
        <w:rPr>
          <w:sz w:val="22"/>
          <w:szCs w:val="22"/>
        </w:rPr>
        <w:t xml:space="preserve"> </w:t>
      </w:r>
      <w:proofErr w:type="spellStart"/>
      <w:r w:rsidRPr="00CF6366">
        <w:rPr>
          <w:sz w:val="22"/>
          <w:szCs w:val="22"/>
        </w:rPr>
        <w:t>ini</w:t>
      </w:r>
      <w:proofErr w:type="spellEnd"/>
      <w:r w:rsidRPr="00CF6366">
        <w:rPr>
          <w:sz w:val="22"/>
          <w:szCs w:val="22"/>
        </w:rPr>
        <w:t xml:space="preserve"> </w:t>
      </w:r>
      <w:proofErr w:type="spellStart"/>
      <w:r w:rsidRPr="00CF6366">
        <w:rPr>
          <w:sz w:val="22"/>
          <w:szCs w:val="22"/>
        </w:rPr>
        <w:t>menggunakan</w:t>
      </w:r>
      <w:proofErr w:type="spellEnd"/>
      <w:r w:rsidRPr="00CF6366">
        <w:rPr>
          <w:sz w:val="22"/>
          <w:szCs w:val="22"/>
        </w:rPr>
        <w:t xml:space="preserve"> </w:t>
      </w:r>
      <w:proofErr w:type="spellStart"/>
      <w:r w:rsidRPr="00CF6366">
        <w:rPr>
          <w:sz w:val="22"/>
          <w:szCs w:val="22"/>
        </w:rPr>
        <w:t>beberapa</w:t>
      </w:r>
      <w:proofErr w:type="spellEnd"/>
      <w:r w:rsidRPr="00CF6366">
        <w:rPr>
          <w:sz w:val="22"/>
          <w:szCs w:val="22"/>
        </w:rPr>
        <w:t xml:space="preserve"> </w:t>
      </w:r>
      <w:proofErr w:type="spellStart"/>
      <w:r w:rsidRPr="00CF6366">
        <w:rPr>
          <w:sz w:val="22"/>
          <w:szCs w:val="22"/>
        </w:rPr>
        <w:t>alat</w:t>
      </w:r>
      <w:proofErr w:type="spellEnd"/>
      <w:r w:rsidRPr="00CF6366">
        <w:rPr>
          <w:sz w:val="22"/>
          <w:szCs w:val="22"/>
        </w:rPr>
        <w:t xml:space="preserve"> </w:t>
      </w:r>
      <w:proofErr w:type="spellStart"/>
      <w:r w:rsidRPr="00CF6366">
        <w:rPr>
          <w:sz w:val="22"/>
          <w:szCs w:val="22"/>
        </w:rPr>
        <w:t>utama</w:t>
      </w:r>
      <w:proofErr w:type="spellEnd"/>
      <w:r w:rsidRPr="00CF6366">
        <w:rPr>
          <w:sz w:val="22"/>
          <w:szCs w:val="22"/>
        </w:rPr>
        <w:t xml:space="preserve">, </w:t>
      </w:r>
      <w:proofErr w:type="spellStart"/>
      <w:r w:rsidRPr="00CF6366">
        <w:rPr>
          <w:sz w:val="22"/>
          <w:szCs w:val="22"/>
        </w:rPr>
        <w:t>termasuk</w:t>
      </w:r>
      <w:proofErr w:type="spellEnd"/>
      <w:r w:rsidRPr="00CF6366">
        <w:rPr>
          <w:sz w:val="22"/>
          <w:szCs w:val="22"/>
        </w:rPr>
        <w:t xml:space="preserve"> laptop </w:t>
      </w:r>
      <w:proofErr w:type="spellStart"/>
      <w:r w:rsidRPr="00CF6366">
        <w:rPr>
          <w:sz w:val="22"/>
          <w:szCs w:val="22"/>
        </w:rPr>
        <w:t>dengan</w:t>
      </w:r>
      <w:proofErr w:type="spellEnd"/>
      <w:r w:rsidRPr="00CF6366">
        <w:rPr>
          <w:sz w:val="22"/>
          <w:szCs w:val="22"/>
        </w:rPr>
        <w:t xml:space="preserve"> </w:t>
      </w:r>
      <w:proofErr w:type="spellStart"/>
      <w:r w:rsidRPr="00CF6366">
        <w:rPr>
          <w:sz w:val="22"/>
          <w:szCs w:val="22"/>
        </w:rPr>
        <w:t>spesifikasi</w:t>
      </w:r>
      <w:proofErr w:type="spellEnd"/>
      <w:r w:rsidRPr="00CF6366">
        <w:rPr>
          <w:sz w:val="22"/>
          <w:szCs w:val="22"/>
        </w:rPr>
        <w:t xml:space="preserve"> </w:t>
      </w:r>
      <w:proofErr w:type="spellStart"/>
      <w:r w:rsidRPr="00CF6366">
        <w:rPr>
          <w:sz w:val="22"/>
          <w:szCs w:val="22"/>
        </w:rPr>
        <w:t>prosesor</w:t>
      </w:r>
      <w:proofErr w:type="spellEnd"/>
      <w:r w:rsidRPr="00CF6366">
        <w:rPr>
          <w:sz w:val="22"/>
          <w:szCs w:val="22"/>
        </w:rPr>
        <w:t xml:space="preserve"> Intel</w:t>
      </w:r>
      <w:r w:rsidR="00601074">
        <w:rPr>
          <w:sz w:val="22"/>
          <w:szCs w:val="22"/>
        </w:rPr>
        <w:t xml:space="preserve"> Core</w:t>
      </w:r>
      <w:r w:rsidRPr="00CF6366">
        <w:rPr>
          <w:sz w:val="22"/>
          <w:szCs w:val="22"/>
        </w:rPr>
        <w:t xml:space="preserve"> i5, RAM</w:t>
      </w:r>
      <w:r w:rsidR="00601074">
        <w:rPr>
          <w:sz w:val="22"/>
          <w:szCs w:val="22"/>
        </w:rPr>
        <w:t xml:space="preserve"> 16</w:t>
      </w:r>
      <w:r w:rsidRPr="00CF6366">
        <w:rPr>
          <w:sz w:val="22"/>
          <w:szCs w:val="22"/>
        </w:rPr>
        <w:t xml:space="preserve"> GB, </w:t>
      </w:r>
      <w:proofErr w:type="spellStart"/>
      <w:r w:rsidRPr="00CF6366">
        <w:rPr>
          <w:sz w:val="22"/>
          <w:szCs w:val="22"/>
        </w:rPr>
        <w:t>serta</w:t>
      </w:r>
      <w:proofErr w:type="spellEnd"/>
      <w:r w:rsidRPr="00CF6366">
        <w:rPr>
          <w:sz w:val="22"/>
          <w:szCs w:val="22"/>
        </w:rPr>
        <w:t xml:space="preserve"> </w:t>
      </w:r>
      <w:proofErr w:type="spellStart"/>
      <w:r w:rsidRPr="00CF6366">
        <w:rPr>
          <w:sz w:val="22"/>
          <w:szCs w:val="22"/>
        </w:rPr>
        <w:t>sistem</w:t>
      </w:r>
      <w:proofErr w:type="spellEnd"/>
      <w:r w:rsidRPr="00CF6366">
        <w:rPr>
          <w:sz w:val="22"/>
          <w:szCs w:val="22"/>
        </w:rPr>
        <w:t xml:space="preserve"> </w:t>
      </w:r>
      <w:proofErr w:type="spellStart"/>
      <w:r w:rsidRPr="00CF6366">
        <w:rPr>
          <w:sz w:val="22"/>
          <w:szCs w:val="22"/>
        </w:rPr>
        <w:t>operasi</w:t>
      </w:r>
      <w:proofErr w:type="spellEnd"/>
      <w:r w:rsidRPr="00CF6366">
        <w:rPr>
          <w:sz w:val="22"/>
          <w:szCs w:val="22"/>
        </w:rPr>
        <w:t xml:space="preserve"> Windows</w:t>
      </w:r>
      <w:r w:rsidR="00601074">
        <w:rPr>
          <w:sz w:val="22"/>
          <w:szCs w:val="22"/>
        </w:rPr>
        <w:t xml:space="preserve"> 11</w:t>
      </w:r>
      <w:r w:rsidRPr="00CF6366">
        <w:rPr>
          <w:sz w:val="22"/>
          <w:szCs w:val="22"/>
        </w:rPr>
        <w:t xml:space="preserve">. </w:t>
      </w:r>
      <w:proofErr w:type="spellStart"/>
      <w:r w:rsidRPr="00CF6366">
        <w:rPr>
          <w:sz w:val="22"/>
          <w:szCs w:val="22"/>
        </w:rPr>
        <w:t>Perangkat</w:t>
      </w:r>
      <w:proofErr w:type="spellEnd"/>
      <w:r w:rsidRPr="00CF6366">
        <w:rPr>
          <w:sz w:val="22"/>
          <w:szCs w:val="22"/>
        </w:rPr>
        <w:t xml:space="preserve"> </w:t>
      </w:r>
      <w:proofErr w:type="spellStart"/>
      <w:r w:rsidRPr="00CF6366">
        <w:rPr>
          <w:sz w:val="22"/>
          <w:szCs w:val="22"/>
        </w:rPr>
        <w:t>lunak</w:t>
      </w:r>
      <w:proofErr w:type="spellEnd"/>
      <w:r w:rsidRPr="00CF6366">
        <w:rPr>
          <w:sz w:val="22"/>
          <w:szCs w:val="22"/>
        </w:rPr>
        <w:t xml:space="preserve"> yang </w:t>
      </w:r>
      <w:proofErr w:type="spellStart"/>
      <w:r w:rsidRPr="00CF6366">
        <w:rPr>
          <w:sz w:val="22"/>
          <w:szCs w:val="22"/>
        </w:rPr>
        <w:t>digunakan</w:t>
      </w:r>
      <w:proofErr w:type="spellEnd"/>
      <w:r w:rsidRPr="00CF6366">
        <w:rPr>
          <w:sz w:val="22"/>
          <w:szCs w:val="22"/>
        </w:rPr>
        <w:t xml:space="preserve"> </w:t>
      </w:r>
      <w:proofErr w:type="spellStart"/>
      <w:r w:rsidRPr="00CF6366">
        <w:rPr>
          <w:sz w:val="22"/>
          <w:szCs w:val="22"/>
        </w:rPr>
        <w:t>meliputi</w:t>
      </w:r>
      <w:proofErr w:type="spellEnd"/>
      <w:r w:rsidRPr="00CF6366">
        <w:rPr>
          <w:sz w:val="22"/>
          <w:szCs w:val="22"/>
        </w:rPr>
        <w:t xml:space="preserve"> </w:t>
      </w:r>
      <w:r w:rsidR="00601074">
        <w:rPr>
          <w:sz w:val="22"/>
          <w:szCs w:val="22"/>
        </w:rPr>
        <w:t>Gaussian03W</w:t>
      </w:r>
      <w:r w:rsidRPr="00CF6366">
        <w:rPr>
          <w:sz w:val="22"/>
          <w:szCs w:val="22"/>
        </w:rPr>
        <w:t xml:space="preserve"> </w:t>
      </w:r>
      <w:proofErr w:type="spellStart"/>
      <w:r w:rsidRPr="00CF6366">
        <w:rPr>
          <w:sz w:val="22"/>
          <w:szCs w:val="22"/>
        </w:rPr>
        <w:t>untuk</w:t>
      </w:r>
      <w:proofErr w:type="spellEnd"/>
      <w:r w:rsidRPr="00CF6366">
        <w:rPr>
          <w:sz w:val="22"/>
          <w:szCs w:val="22"/>
        </w:rPr>
        <w:t xml:space="preserve"> </w:t>
      </w:r>
      <w:proofErr w:type="spellStart"/>
      <w:r w:rsidRPr="00CF6366">
        <w:rPr>
          <w:sz w:val="22"/>
          <w:szCs w:val="22"/>
        </w:rPr>
        <w:t>memvisualisasikan</w:t>
      </w:r>
      <w:proofErr w:type="spellEnd"/>
      <w:r w:rsidRPr="00CF6366">
        <w:rPr>
          <w:sz w:val="22"/>
          <w:szCs w:val="22"/>
        </w:rPr>
        <w:t xml:space="preserve"> </w:t>
      </w:r>
      <w:proofErr w:type="spellStart"/>
      <w:r w:rsidRPr="00CF6366">
        <w:rPr>
          <w:sz w:val="22"/>
          <w:szCs w:val="22"/>
        </w:rPr>
        <w:t>struktur</w:t>
      </w:r>
      <w:proofErr w:type="spellEnd"/>
      <w:r w:rsidRPr="00CF6366">
        <w:rPr>
          <w:sz w:val="22"/>
          <w:szCs w:val="22"/>
        </w:rPr>
        <w:t xml:space="preserve"> </w:t>
      </w:r>
      <w:proofErr w:type="spellStart"/>
      <w:r w:rsidRPr="00CF6366">
        <w:rPr>
          <w:sz w:val="22"/>
          <w:szCs w:val="22"/>
        </w:rPr>
        <w:t>kimia</w:t>
      </w:r>
      <w:proofErr w:type="spellEnd"/>
      <w:r w:rsidRPr="00CF6366">
        <w:rPr>
          <w:sz w:val="22"/>
          <w:szCs w:val="22"/>
        </w:rPr>
        <w:t xml:space="preserve">, </w:t>
      </w:r>
      <w:proofErr w:type="spellStart"/>
      <w:r w:rsidRPr="00CF6366">
        <w:rPr>
          <w:sz w:val="22"/>
          <w:szCs w:val="22"/>
        </w:rPr>
        <w:t>AutoDockTools</w:t>
      </w:r>
      <w:proofErr w:type="spellEnd"/>
      <w:r w:rsidRPr="00CF6366">
        <w:rPr>
          <w:sz w:val="22"/>
          <w:szCs w:val="22"/>
        </w:rPr>
        <w:t xml:space="preserve"> dan AutoDock4 </w:t>
      </w:r>
      <w:proofErr w:type="spellStart"/>
      <w:r w:rsidRPr="00CF6366">
        <w:rPr>
          <w:sz w:val="22"/>
          <w:szCs w:val="22"/>
        </w:rPr>
        <w:t>untuk</w:t>
      </w:r>
      <w:proofErr w:type="spellEnd"/>
      <w:r w:rsidRPr="00CF6366">
        <w:rPr>
          <w:sz w:val="22"/>
          <w:szCs w:val="22"/>
        </w:rPr>
        <w:t xml:space="preserve"> proses docking </w:t>
      </w:r>
      <w:proofErr w:type="spellStart"/>
      <w:r w:rsidRPr="00CF6366">
        <w:rPr>
          <w:sz w:val="22"/>
          <w:szCs w:val="22"/>
        </w:rPr>
        <w:t>molekuler</w:t>
      </w:r>
      <w:proofErr w:type="spellEnd"/>
      <w:r w:rsidRPr="00CF6366">
        <w:rPr>
          <w:sz w:val="22"/>
          <w:szCs w:val="22"/>
        </w:rPr>
        <w:t xml:space="preserve">, </w:t>
      </w:r>
      <w:proofErr w:type="spellStart"/>
      <w:r w:rsidRPr="00CF6366">
        <w:rPr>
          <w:sz w:val="22"/>
          <w:szCs w:val="22"/>
        </w:rPr>
        <w:t>serta</w:t>
      </w:r>
      <w:proofErr w:type="spellEnd"/>
      <w:r w:rsidRPr="00CF6366">
        <w:rPr>
          <w:sz w:val="22"/>
          <w:szCs w:val="22"/>
        </w:rPr>
        <w:t xml:space="preserve"> Discovery Studio </w:t>
      </w:r>
      <w:proofErr w:type="gramStart"/>
      <w:r w:rsidR="00601074">
        <w:rPr>
          <w:sz w:val="22"/>
          <w:szCs w:val="22"/>
        </w:rPr>
        <w:t xml:space="preserve">2017 </w:t>
      </w:r>
      <w:r w:rsidRPr="00CF6366">
        <w:rPr>
          <w:sz w:val="22"/>
          <w:szCs w:val="22"/>
        </w:rPr>
        <w:t xml:space="preserve"> </w:t>
      </w:r>
      <w:proofErr w:type="spellStart"/>
      <w:r w:rsidRPr="00CF6366">
        <w:rPr>
          <w:sz w:val="22"/>
          <w:szCs w:val="22"/>
        </w:rPr>
        <w:t>untuk</w:t>
      </w:r>
      <w:proofErr w:type="spellEnd"/>
      <w:proofErr w:type="gramEnd"/>
      <w:r w:rsidRPr="00CF6366">
        <w:rPr>
          <w:sz w:val="22"/>
          <w:szCs w:val="22"/>
        </w:rPr>
        <w:t xml:space="preserve"> </w:t>
      </w:r>
      <w:proofErr w:type="spellStart"/>
      <w:r w:rsidRPr="00CF6366">
        <w:rPr>
          <w:sz w:val="22"/>
          <w:szCs w:val="22"/>
        </w:rPr>
        <w:t>analisis</w:t>
      </w:r>
      <w:proofErr w:type="spellEnd"/>
      <w:r w:rsidRPr="00CF6366">
        <w:rPr>
          <w:sz w:val="22"/>
          <w:szCs w:val="22"/>
        </w:rPr>
        <w:t xml:space="preserve"> dan </w:t>
      </w:r>
      <w:proofErr w:type="spellStart"/>
      <w:r w:rsidRPr="00CF6366">
        <w:rPr>
          <w:sz w:val="22"/>
          <w:szCs w:val="22"/>
        </w:rPr>
        <w:t>visualisasi</w:t>
      </w:r>
      <w:proofErr w:type="spellEnd"/>
      <w:r w:rsidRPr="00CF6366">
        <w:rPr>
          <w:sz w:val="22"/>
          <w:szCs w:val="22"/>
        </w:rPr>
        <w:t xml:space="preserve"> </w:t>
      </w:r>
      <w:proofErr w:type="spellStart"/>
      <w:r w:rsidRPr="00CF6366">
        <w:rPr>
          <w:sz w:val="22"/>
          <w:szCs w:val="22"/>
        </w:rPr>
        <w:t>interaksi</w:t>
      </w:r>
      <w:proofErr w:type="spellEnd"/>
      <w:r w:rsidRPr="00CF6366">
        <w:rPr>
          <w:sz w:val="22"/>
          <w:szCs w:val="22"/>
        </w:rPr>
        <w:t xml:space="preserve"> ligand-</w:t>
      </w:r>
      <w:proofErr w:type="spellStart"/>
      <w:r w:rsidRPr="00CF6366">
        <w:rPr>
          <w:sz w:val="22"/>
          <w:szCs w:val="22"/>
        </w:rPr>
        <w:t>reseptor</w:t>
      </w:r>
      <w:proofErr w:type="spellEnd"/>
      <w:r w:rsidRPr="00CF6366">
        <w:rPr>
          <w:sz w:val="22"/>
          <w:szCs w:val="22"/>
        </w:rPr>
        <w:t xml:space="preserve">. </w:t>
      </w:r>
    </w:p>
    <w:p w14:paraId="0220CFB1" w14:textId="77777777" w:rsidR="00CF6366" w:rsidRDefault="00CF6366" w:rsidP="00256F0D">
      <w:pPr>
        <w:spacing w:before="240" w:line="288" w:lineRule="auto"/>
        <w:ind w:right="43"/>
        <w:jc w:val="both"/>
        <w:rPr>
          <w:b/>
          <w:bCs/>
          <w:sz w:val="22"/>
          <w:szCs w:val="22"/>
          <w:lang w:val="en-ID"/>
        </w:rPr>
      </w:pPr>
      <w:proofErr w:type="spellStart"/>
      <w:r>
        <w:rPr>
          <w:b/>
          <w:bCs/>
          <w:sz w:val="22"/>
          <w:szCs w:val="22"/>
          <w:lang w:val="en-ID"/>
        </w:rPr>
        <w:t>Prosedur</w:t>
      </w:r>
      <w:proofErr w:type="spellEnd"/>
    </w:p>
    <w:p w14:paraId="3FCC716C" w14:textId="77777777" w:rsidR="0038742B" w:rsidRDefault="0038742B" w:rsidP="0038742B">
      <w:pPr>
        <w:spacing w:line="288" w:lineRule="auto"/>
        <w:ind w:right="43"/>
        <w:jc w:val="both"/>
        <w:rPr>
          <w:b/>
          <w:bCs/>
          <w:sz w:val="22"/>
          <w:szCs w:val="22"/>
          <w:lang w:val="en-ID"/>
        </w:rPr>
      </w:pPr>
      <w:proofErr w:type="spellStart"/>
      <w:r w:rsidRPr="0038742B">
        <w:rPr>
          <w:b/>
          <w:bCs/>
          <w:sz w:val="22"/>
          <w:szCs w:val="22"/>
          <w:lang w:val="en-ID"/>
        </w:rPr>
        <w:t>Persiapan</w:t>
      </w:r>
      <w:proofErr w:type="spellEnd"/>
      <w:r w:rsidRPr="0038742B">
        <w:rPr>
          <w:b/>
          <w:bCs/>
          <w:sz w:val="22"/>
          <w:szCs w:val="22"/>
          <w:lang w:val="en-ID"/>
        </w:rPr>
        <w:t xml:space="preserve"> </w:t>
      </w:r>
      <w:proofErr w:type="spellStart"/>
      <w:r w:rsidRPr="0038742B">
        <w:rPr>
          <w:b/>
          <w:bCs/>
          <w:sz w:val="22"/>
          <w:szCs w:val="22"/>
          <w:lang w:val="en-ID"/>
        </w:rPr>
        <w:t>Struktur</w:t>
      </w:r>
      <w:proofErr w:type="spellEnd"/>
      <w:r w:rsidRPr="0038742B">
        <w:rPr>
          <w:b/>
          <w:bCs/>
          <w:sz w:val="22"/>
          <w:szCs w:val="22"/>
          <w:lang w:val="en-ID"/>
        </w:rPr>
        <w:t xml:space="preserve"> Senyawa </w:t>
      </w:r>
      <w:proofErr w:type="spellStart"/>
      <w:r w:rsidRPr="0038742B">
        <w:rPr>
          <w:b/>
          <w:bCs/>
          <w:sz w:val="22"/>
          <w:szCs w:val="22"/>
          <w:lang w:val="en-ID"/>
        </w:rPr>
        <w:t>Ircinianin</w:t>
      </w:r>
      <w:proofErr w:type="spellEnd"/>
    </w:p>
    <w:p w14:paraId="1A2B9C59" w14:textId="29402708" w:rsidR="0038742B" w:rsidRPr="0038742B" w:rsidRDefault="0038742B" w:rsidP="00256F0D">
      <w:pPr>
        <w:spacing w:line="288" w:lineRule="auto"/>
        <w:ind w:right="43"/>
        <w:jc w:val="both"/>
        <w:rPr>
          <w:sz w:val="22"/>
          <w:szCs w:val="22"/>
          <w:lang w:val="en-ID"/>
        </w:rPr>
      </w:pPr>
      <w:proofErr w:type="spellStart"/>
      <w:r w:rsidRPr="0038742B">
        <w:rPr>
          <w:sz w:val="22"/>
          <w:szCs w:val="22"/>
          <w:lang w:val="en-ID"/>
        </w:rPr>
        <w:t>Struktur</w:t>
      </w:r>
      <w:proofErr w:type="spellEnd"/>
      <w:r w:rsidRPr="0038742B">
        <w:rPr>
          <w:sz w:val="22"/>
          <w:szCs w:val="22"/>
          <w:lang w:val="en-ID"/>
        </w:rPr>
        <w:t xml:space="preserve"> </w:t>
      </w:r>
      <w:proofErr w:type="spellStart"/>
      <w:r w:rsidRPr="0038742B">
        <w:rPr>
          <w:sz w:val="22"/>
          <w:szCs w:val="22"/>
          <w:lang w:val="en-ID"/>
        </w:rPr>
        <w:t>kimia</w:t>
      </w:r>
      <w:proofErr w:type="spellEnd"/>
      <w:r w:rsidRPr="0038742B">
        <w:rPr>
          <w:sz w:val="22"/>
          <w:szCs w:val="22"/>
          <w:lang w:val="en-ID"/>
        </w:rPr>
        <w:t xml:space="preserve"> </w:t>
      </w:r>
      <w:proofErr w:type="spellStart"/>
      <w:r w:rsidRPr="0038742B">
        <w:rPr>
          <w:sz w:val="22"/>
          <w:szCs w:val="22"/>
          <w:lang w:val="en-ID"/>
        </w:rPr>
        <w:t>senyawa</w:t>
      </w:r>
      <w:proofErr w:type="spellEnd"/>
      <w:r w:rsidRPr="0038742B">
        <w:rPr>
          <w:sz w:val="22"/>
          <w:szCs w:val="22"/>
          <w:lang w:val="en-ID"/>
        </w:rPr>
        <w:t xml:space="preserve"> </w:t>
      </w:r>
      <w:proofErr w:type="spellStart"/>
      <w:r w:rsidRPr="0038742B">
        <w:rPr>
          <w:sz w:val="22"/>
          <w:szCs w:val="22"/>
          <w:lang w:val="en-ID"/>
        </w:rPr>
        <w:t>ircinianin</w:t>
      </w:r>
      <w:proofErr w:type="spellEnd"/>
      <w:r w:rsidRPr="0038742B">
        <w:rPr>
          <w:sz w:val="22"/>
          <w:szCs w:val="22"/>
          <w:lang w:val="en-ID"/>
        </w:rPr>
        <w:t xml:space="preserve"> </w:t>
      </w:r>
      <w:proofErr w:type="spellStart"/>
      <w:r w:rsidRPr="0038742B">
        <w:rPr>
          <w:sz w:val="22"/>
          <w:szCs w:val="22"/>
          <w:lang w:val="en-ID"/>
        </w:rPr>
        <w:t>diperoleh</w:t>
      </w:r>
      <w:proofErr w:type="spellEnd"/>
      <w:r w:rsidRPr="0038742B">
        <w:rPr>
          <w:sz w:val="22"/>
          <w:szCs w:val="22"/>
          <w:lang w:val="en-ID"/>
        </w:rPr>
        <w:t xml:space="preserve"> </w:t>
      </w:r>
      <w:proofErr w:type="spellStart"/>
      <w:r w:rsidRPr="0038742B">
        <w:rPr>
          <w:sz w:val="22"/>
          <w:szCs w:val="22"/>
          <w:lang w:val="en-ID"/>
        </w:rPr>
        <w:t>dari</w:t>
      </w:r>
      <w:proofErr w:type="spellEnd"/>
      <w:r>
        <w:rPr>
          <w:sz w:val="22"/>
          <w:szCs w:val="22"/>
          <w:lang w:val="en-ID"/>
        </w:rPr>
        <w:t xml:space="preserve"> basis data</w:t>
      </w:r>
      <w:r w:rsidRPr="0038742B">
        <w:rPr>
          <w:sz w:val="22"/>
          <w:szCs w:val="22"/>
          <w:lang w:val="en-ID"/>
        </w:rPr>
        <w:t xml:space="preserve"> </w:t>
      </w:r>
      <w:proofErr w:type="spellStart"/>
      <w:r>
        <w:rPr>
          <w:sz w:val="22"/>
          <w:szCs w:val="22"/>
          <w:lang w:val="en-ID"/>
        </w:rPr>
        <w:t>Pubchem</w:t>
      </w:r>
      <w:proofErr w:type="spellEnd"/>
      <w:r w:rsidR="00681E51">
        <w:rPr>
          <w:sz w:val="22"/>
          <w:szCs w:val="22"/>
          <w:lang w:val="en-ID"/>
        </w:rPr>
        <w:t xml:space="preserve"> </w:t>
      </w:r>
      <w:r w:rsidR="00681E51">
        <w:rPr>
          <w:sz w:val="22"/>
          <w:szCs w:val="22"/>
          <w:lang w:val="en-ID"/>
        </w:rPr>
        <w:fldChar w:fldCharType="begin" w:fldLock="1"/>
      </w:r>
      <w:r w:rsidR="00681E51">
        <w:rPr>
          <w:sz w:val="22"/>
          <w:szCs w:val="22"/>
          <w:lang w:val="en-ID"/>
        </w:rPr>
        <w:instrText>ADDIN CSL_CITATION {"citationItems":[{"id":"ITEM-1","itemData":{"DOI":"10.1093/nar/gkv951","author":[{"dropping-particle":"","family":"Kim","given":"Sunghwan","non-dropping-particle":"","parse-names":false,"suffix":""},{"dropping-particle":"","family":"Thiessen","given":"Paul A","non-dropping-particle":"","parse-names":false,"suffix":""},{"dropping-particle":"","family":"Bolton","given":"Evan E","non-dropping-particle":"","parse-names":false,"suffix":""},{"dropping-particle":"","family":"Chen","given":"Jie","non-dropping-particle":"","parse-names":false,"suffix":""},{"dropping-particle":"","family":"Fu","given":"Gang","non-dropping-particle":"","parse-names":false,"suffix":""},{"dropping-particle":"","family":"Gindulyte","given":"Asta","non-dropping-particle":"","parse-names":false,"suffix":""},{"dropping-particle":"","family":"Han","given":"Lianyi","non-dropping-particle":"","parse-names":false,"suffix":""},{"dropping-particle":"","family":"He","given":"Jane","non-dropping-particle":"","parse-names":false,"suffix":""},{"dropping-particle":"","family":"He","given":"Siqian","non-dropping-particle":"","parse-names":false,"suffix":""},{"dropping-particle":"","family":"Shoemaker","given":"Benjamin A","non-dropping-particle":"","parse-names":false,"suffix":""},{"dropping-particle":"","family":"Wang","given":"Jiyao","non-dropping-particle":"","parse-names":false,"suffix":""},{"dropping-particle":"","family":"Yu","given":"Bo","non-dropping-particle":"","parse-names":false,"suffix":""},{"dropping-particle":"","family":"Zhang","given":"Jian","non-dropping-particle":"","parse-names":false,"suffix":""},{"dropping-particle":"","family":"Bryant","given":"Stephen H","non-dropping-particle":"","parse-names":false,"suffix":""}],"id":"ITEM-1","issue":"September 2015","issued":{"date-parts":[["2016"]]},"page":"1202-1213","title":"PubChem Substance and Compound databases","type":"article-journal","volume":"44"},"uris":["http://www.mendeley.com/documents/?uuid=99acb6e6-b350-400a-8e6b-5cea975b34e1"]}],"mendeley":{"formattedCitation":"(Kim et al., 2016)","plainTextFormattedCitation":"(Kim et al., 2016)","previouslyFormattedCitation":"(Kim et al., 2016)"},"properties":{"noteIndex":0},"schema":"https://github.com/citation-style-language/schema/raw/master/csl-citation.json"}</w:instrText>
      </w:r>
      <w:r w:rsidR="00681E51">
        <w:rPr>
          <w:sz w:val="22"/>
          <w:szCs w:val="22"/>
          <w:lang w:val="en-ID"/>
        </w:rPr>
        <w:fldChar w:fldCharType="separate"/>
      </w:r>
      <w:r w:rsidR="00681E51" w:rsidRPr="00681E51">
        <w:rPr>
          <w:noProof/>
          <w:sz w:val="22"/>
          <w:szCs w:val="22"/>
          <w:lang w:val="en-ID"/>
        </w:rPr>
        <w:t>(Kim et al., 2016)</w:t>
      </w:r>
      <w:r w:rsidR="00681E51">
        <w:rPr>
          <w:sz w:val="22"/>
          <w:szCs w:val="22"/>
          <w:lang w:val="en-ID"/>
        </w:rPr>
        <w:fldChar w:fldCharType="end"/>
      </w:r>
      <w:r w:rsidRPr="0038742B">
        <w:rPr>
          <w:sz w:val="22"/>
          <w:szCs w:val="22"/>
          <w:lang w:val="en-ID"/>
        </w:rPr>
        <w:t xml:space="preserve">. </w:t>
      </w:r>
      <w:proofErr w:type="spellStart"/>
      <w:r w:rsidRPr="0038742B">
        <w:rPr>
          <w:sz w:val="22"/>
          <w:szCs w:val="22"/>
          <w:lang w:val="en-ID"/>
        </w:rPr>
        <w:t>Struktur</w:t>
      </w:r>
      <w:proofErr w:type="spellEnd"/>
      <w:r w:rsidRPr="0038742B">
        <w:rPr>
          <w:sz w:val="22"/>
          <w:szCs w:val="22"/>
          <w:lang w:val="en-ID"/>
        </w:rPr>
        <w:t xml:space="preserve"> </w:t>
      </w:r>
      <w:proofErr w:type="spellStart"/>
      <w:r w:rsidRPr="0038742B">
        <w:rPr>
          <w:sz w:val="22"/>
          <w:szCs w:val="22"/>
          <w:lang w:val="en-ID"/>
        </w:rPr>
        <w:t>senyawa</w:t>
      </w:r>
      <w:proofErr w:type="spellEnd"/>
      <w:r w:rsidRPr="0038742B">
        <w:rPr>
          <w:sz w:val="22"/>
          <w:szCs w:val="22"/>
          <w:lang w:val="en-ID"/>
        </w:rPr>
        <w:t xml:space="preserve"> </w:t>
      </w:r>
      <w:proofErr w:type="spellStart"/>
      <w:r w:rsidRPr="0038742B">
        <w:rPr>
          <w:sz w:val="22"/>
          <w:szCs w:val="22"/>
          <w:lang w:val="en-ID"/>
        </w:rPr>
        <w:t>ini</w:t>
      </w:r>
      <w:proofErr w:type="spellEnd"/>
      <w:r w:rsidRPr="0038742B">
        <w:rPr>
          <w:sz w:val="22"/>
          <w:szCs w:val="22"/>
          <w:lang w:val="en-ID"/>
        </w:rPr>
        <w:t xml:space="preserve"> </w:t>
      </w:r>
      <w:proofErr w:type="spellStart"/>
      <w:r w:rsidRPr="0038742B">
        <w:rPr>
          <w:sz w:val="22"/>
          <w:szCs w:val="22"/>
          <w:lang w:val="en-ID"/>
        </w:rPr>
        <w:t>kemudian</w:t>
      </w:r>
      <w:proofErr w:type="spellEnd"/>
      <w:r w:rsidRPr="0038742B">
        <w:rPr>
          <w:sz w:val="22"/>
          <w:szCs w:val="22"/>
          <w:lang w:val="en-ID"/>
        </w:rPr>
        <w:t xml:space="preserve"> </w:t>
      </w:r>
      <w:proofErr w:type="spellStart"/>
      <w:r w:rsidRPr="0038742B">
        <w:rPr>
          <w:sz w:val="22"/>
          <w:szCs w:val="22"/>
          <w:lang w:val="en-ID"/>
        </w:rPr>
        <w:t>akan</w:t>
      </w:r>
      <w:proofErr w:type="spellEnd"/>
      <w:r w:rsidRPr="0038742B">
        <w:rPr>
          <w:sz w:val="22"/>
          <w:szCs w:val="22"/>
          <w:lang w:val="en-ID"/>
        </w:rPr>
        <w:t xml:space="preserve"> </w:t>
      </w:r>
      <w:proofErr w:type="spellStart"/>
      <w:r w:rsidRPr="0038742B">
        <w:rPr>
          <w:sz w:val="22"/>
          <w:szCs w:val="22"/>
          <w:lang w:val="en-ID"/>
        </w:rPr>
        <w:t>disimpan</w:t>
      </w:r>
      <w:proofErr w:type="spellEnd"/>
      <w:r w:rsidRPr="0038742B">
        <w:rPr>
          <w:sz w:val="22"/>
          <w:szCs w:val="22"/>
          <w:lang w:val="en-ID"/>
        </w:rPr>
        <w:t xml:space="preserve"> </w:t>
      </w:r>
      <w:proofErr w:type="spellStart"/>
      <w:r w:rsidRPr="0038742B">
        <w:rPr>
          <w:sz w:val="22"/>
          <w:szCs w:val="22"/>
          <w:lang w:val="en-ID"/>
        </w:rPr>
        <w:t>dalam</w:t>
      </w:r>
      <w:proofErr w:type="spellEnd"/>
      <w:r w:rsidRPr="0038742B">
        <w:rPr>
          <w:sz w:val="22"/>
          <w:szCs w:val="22"/>
          <w:lang w:val="en-ID"/>
        </w:rPr>
        <w:t xml:space="preserve"> format PDB </w:t>
      </w:r>
      <w:proofErr w:type="spellStart"/>
      <w:r w:rsidRPr="0038742B">
        <w:rPr>
          <w:sz w:val="22"/>
          <w:szCs w:val="22"/>
          <w:lang w:val="en-ID"/>
        </w:rPr>
        <w:t>atau</w:t>
      </w:r>
      <w:proofErr w:type="spellEnd"/>
      <w:r w:rsidRPr="0038742B">
        <w:rPr>
          <w:sz w:val="22"/>
          <w:szCs w:val="22"/>
          <w:lang w:val="en-ID"/>
        </w:rPr>
        <w:t xml:space="preserve"> PDBQT yang </w:t>
      </w:r>
      <w:proofErr w:type="spellStart"/>
      <w:r w:rsidRPr="0038742B">
        <w:rPr>
          <w:sz w:val="22"/>
          <w:szCs w:val="22"/>
          <w:lang w:val="en-ID"/>
        </w:rPr>
        <w:t>kompatibel</w:t>
      </w:r>
      <w:proofErr w:type="spellEnd"/>
      <w:r w:rsidRPr="0038742B">
        <w:rPr>
          <w:sz w:val="22"/>
          <w:szCs w:val="22"/>
          <w:lang w:val="en-ID"/>
        </w:rPr>
        <w:t xml:space="preserve"> </w:t>
      </w:r>
      <w:proofErr w:type="spellStart"/>
      <w:r w:rsidRPr="0038742B">
        <w:rPr>
          <w:sz w:val="22"/>
          <w:szCs w:val="22"/>
          <w:lang w:val="en-ID"/>
        </w:rPr>
        <w:t>dengan</w:t>
      </w:r>
      <w:proofErr w:type="spellEnd"/>
      <w:r w:rsidRPr="0038742B">
        <w:rPr>
          <w:sz w:val="22"/>
          <w:szCs w:val="22"/>
          <w:lang w:val="en-ID"/>
        </w:rPr>
        <w:t xml:space="preserve"> </w:t>
      </w:r>
      <w:proofErr w:type="spellStart"/>
      <w:r w:rsidRPr="0038742B">
        <w:rPr>
          <w:sz w:val="22"/>
          <w:szCs w:val="22"/>
          <w:lang w:val="en-ID"/>
        </w:rPr>
        <w:t>perangkat</w:t>
      </w:r>
      <w:proofErr w:type="spellEnd"/>
      <w:r w:rsidRPr="0038742B">
        <w:rPr>
          <w:sz w:val="22"/>
          <w:szCs w:val="22"/>
          <w:lang w:val="en-ID"/>
        </w:rPr>
        <w:t xml:space="preserve"> </w:t>
      </w:r>
      <w:proofErr w:type="spellStart"/>
      <w:r w:rsidRPr="0038742B">
        <w:rPr>
          <w:sz w:val="22"/>
          <w:szCs w:val="22"/>
          <w:lang w:val="en-ID"/>
        </w:rPr>
        <w:t>lunak</w:t>
      </w:r>
      <w:proofErr w:type="spellEnd"/>
      <w:r w:rsidRPr="0038742B">
        <w:rPr>
          <w:sz w:val="22"/>
          <w:szCs w:val="22"/>
          <w:lang w:val="en-ID"/>
        </w:rPr>
        <w:t xml:space="preserve"> </w:t>
      </w:r>
      <w:proofErr w:type="spellStart"/>
      <w:r w:rsidRPr="0038742B">
        <w:rPr>
          <w:sz w:val="22"/>
          <w:szCs w:val="22"/>
          <w:lang w:val="en-ID"/>
        </w:rPr>
        <w:t>AutoDock</w:t>
      </w:r>
      <w:proofErr w:type="spellEnd"/>
      <w:r w:rsidRPr="0038742B">
        <w:rPr>
          <w:sz w:val="22"/>
          <w:szCs w:val="22"/>
          <w:lang w:val="en-ID"/>
        </w:rPr>
        <w:t>.</w:t>
      </w:r>
    </w:p>
    <w:p w14:paraId="1619B85C" w14:textId="77777777" w:rsidR="0038742B" w:rsidRDefault="0038742B" w:rsidP="00256F0D">
      <w:pPr>
        <w:spacing w:before="240" w:line="288" w:lineRule="auto"/>
        <w:ind w:right="43"/>
        <w:jc w:val="both"/>
        <w:rPr>
          <w:b/>
          <w:bCs/>
          <w:sz w:val="22"/>
          <w:szCs w:val="22"/>
          <w:lang w:val="en-ID"/>
        </w:rPr>
      </w:pPr>
      <w:proofErr w:type="spellStart"/>
      <w:r w:rsidRPr="0038742B">
        <w:rPr>
          <w:b/>
          <w:bCs/>
          <w:sz w:val="22"/>
          <w:szCs w:val="22"/>
          <w:lang w:val="en-ID"/>
        </w:rPr>
        <w:t>Persiapan</w:t>
      </w:r>
      <w:proofErr w:type="spellEnd"/>
      <w:r w:rsidRPr="0038742B">
        <w:rPr>
          <w:b/>
          <w:bCs/>
          <w:sz w:val="22"/>
          <w:szCs w:val="22"/>
          <w:lang w:val="en-ID"/>
        </w:rPr>
        <w:t xml:space="preserve"> </w:t>
      </w:r>
      <w:proofErr w:type="spellStart"/>
      <w:r w:rsidRPr="0038742B">
        <w:rPr>
          <w:b/>
          <w:bCs/>
          <w:sz w:val="22"/>
          <w:szCs w:val="22"/>
          <w:lang w:val="en-ID"/>
        </w:rPr>
        <w:t>Struktur</w:t>
      </w:r>
      <w:proofErr w:type="spellEnd"/>
      <w:r w:rsidRPr="0038742B">
        <w:rPr>
          <w:b/>
          <w:bCs/>
          <w:sz w:val="22"/>
          <w:szCs w:val="22"/>
          <w:lang w:val="en-ID"/>
        </w:rPr>
        <w:t xml:space="preserve"> </w:t>
      </w:r>
      <w:proofErr w:type="spellStart"/>
      <w:r w:rsidRPr="0038742B">
        <w:rPr>
          <w:b/>
          <w:bCs/>
          <w:sz w:val="22"/>
          <w:szCs w:val="22"/>
          <w:lang w:val="en-ID"/>
        </w:rPr>
        <w:t>Reseptor</w:t>
      </w:r>
      <w:proofErr w:type="spellEnd"/>
      <w:r w:rsidRPr="0038742B">
        <w:rPr>
          <w:b/>
          <w:bCs/>
          <w:sz w:val="22"/>
          <w:szCs w:val="22"/>
          <w:lang w:val="en-ID"/>
        </w:rPr>
        <w:t xml:space="preserve"> SGLT-2</w:t>
      </w:r>
    </w:p>
    <w:p w14:paraId="01092FB0" w14:textId="79576AB4" w:rsidR="00F22D99" w:rsidRPr="0038742B" w:rsidRDefault="0038742B" w:rsidP="00256F0D">
      <w:pPr>
        <w:spacing w:line="288" w:lineRule="auto"/>
        <w:ind w:right="43"/>
        <w:jc w:val="both"/>
        <w:rPr>
          <w:sz w:val="22"/>
          <w:szCs w:val="22"/>
          <w:lang w:val="en-ID"/>
        </w:rPr>
      </w:pPr>
      <w:proofErr w:type="spellStart"/>
      <w:r w:rsidRPr="0038742B">
        <w:rPr>
          <w:sz w:val="22"/>
          <w:szCs w:val="22"/>
          <w:lang w:val="en-ID"/>
        </w:rPr>
        <w:t>Struktur</w:t>
      </w:r>
      <w:proofErr w:type="spellEnd"/>
      <w:r w:rsidRPr="0038742B">
        <w:rPr>
          <w:sz w:val="22"/>
          <w:szCs w:val="22"/>
          <w:lang w:val="en-ID"/>
        </w:rPr>
        <w:t xml:space="preserve"> 3D </w:t>
      </w:r>
      <w:proofErr w:type="spellStart"/>
      <w:r w:rsidRPr="0038742B">
        <w:rPr>
          <w:sz w:val="22"/>
          <w:szCs w:val="22"/>
          <w:lang w:val="en-ID"/>
        </w:rPr>
        <w:t>dari</w:t>
      </w:r>
      <w:proofErr w:type="spellEnd"/>
      <w:r w:rsidRPr="0038742B">
        <w:rPr>
          <w:sz w:val="22"/>
          <w:szCs w:val="22"/>
          <w:lang w:val="en-ID"/>
        </w:rPr>
        <w:t xml:space="preserve"> </w:t>
      </w:r>
      <w:proofErr w:type="spellStart"/>
      <w:r w:rsidRPr="0038742B">
        <w:rPr>
          <w:sz w:val="22"/>
          <w:szCs w:val="22"/>
          <w:lang w:val="en-ID"/>
        </w:rPr>
        <w:t>reseptor</w:t>
      </w:r>
      <w:proofErr w:type="spellEnd"/>
      <w:r w:rsidRPr="0038742B">
        <w:rPr>
          <w:sz w:val="22"/>
          <w:szCs w:val="22"/>
          <w:lang w:val="en-ID"/>
        </w:rPr>
        <w:t xml:space="preserve"> SGLT-2 </w:t>
      </w:r>
      <w:proofErr w:type="spellStart"/>
      <w:r w:rsidRPr="0038742B">
        <w:rPr>
          <w:sz w:val="22"/>
          <w:szCs w:val="22"/>
          <w:lang w:val="en-ID"/>
        </w:rPr>
        <w:t>akan</w:t>
      </w:r>
      <w:proofErr w:type="spellEnd"/>
      <w:r w:rsidRPr="0038742B">
        <w:rPr>
          <w:sz w:val="22"/>
          <w:szCs w:val="22"/>
          <w:lang w:val="en-ID"/>
        </w:rPr>
        <w:t xml:space="preserve"> </w:t>
      </w:r>
      <w:proofErr w:type="spellStart"/>
      <w:r w:rsidRPr="0038742B">
        <w:rPr>
          <w:sz w:val="22"/>
          <w:szCs w:val="22"/>
          <w:lang w:val="en-ID"/>
        </w:rPr>
        <w:t>diambil</w:t>
      </w:r>
      <w:proofErr w:type="spellEnd"/>
      <w:r w:rsidRPr="0038742B">
        <w:rPr>
          <w:sz w:val="22"/>
          <w:szCs w:val="22"/>
          <w:lang w:val="en-ID"/>
        </w:rPr>
        <w:t xml:space="preserve"> </w:t>
      </w:r>
      <w:proofErr w:type="spellStart"/>
      <w:r w:rsidRPr="0038742B">
        <w:rPr>
          <w:sz w:val="22"/>
          <w:szCs w:val="22"/>
          <w:lang w:val="en-ID"/>
        </w:rPr>
        <w:t>dari</w:t>
      </w:r>
      <w:proofErr w:type="spellEnd"/>
      <w:r w:rsidRPr="0038742B">
        <w:rPr>
          <w:sz w:val="22"/>
          <w:szCs w:val="22"/>
          <w:lang w:val="en-ID"/>
        </w:rPr>
        <w:t xml:space="preserve"> basis data Protein Data Bank (PDB) (PDB ID</w:t>
      </w:r>
      <w:r>
        <w:rPr>
          <w:sz w:val="22"/>
          <w:szCs w:val="22"/>
          <w:lang w:val="en-ID"/>
        </w:rPr>
        <w:t>: 7VSI</w:t>
      </w:r>
      <w:r w:rsidRPr="0038742B">
        <w:rPr>
          <w:sz w:val="22"/>
          <w:szCs w:val="22"/>
          <w:lang w:val="en-ID"/>
        </w:rPr>
        <w:t xml:space="preserve">). </w:t>
      </w:r>
      <w:proofErr w:type="spellStart"/>
      <w:r w:rsidRPr="0038742B">
        <w:rPr>
          <w:sz w:val="22"/>
          <w:szCs w:val="22"/>
          <w:lang w:val="en-ID"/>
        </w:rPr>
        <w:t>Reseptor</w:t>
      </w:r>
      <w:proofErr w:type="spellEnd"/>
      <w:r w:rsidRPr="0038742B">
        <w:rPr>
          <w:sz w:val="22"/>
          <w:szCs w:val="22"/>
          <w:lang w:val="en-ID"/>
        </w:rPr>
        <w:t xml:space="preserve"> </w:t>
      </w:r>
      <w:proofErr w:type="spellStart"/>
      <w:r w:rsidR="006D16D8">
        <w:rPr>
          <w:sz w:val="22"/>
          <w:szCs w:val="22"/>
          <w:lang w:val="en-ID"/>
        </w:rPr>
        <w:t>dipreparasi</w:t>
      </w:r>
      <w:proofErr w:type="spellEnd"/>
      <w:r w:rsidRPr="0038742B">
        <w:rPr>
          <w:sz w:val="22"/>
          <w:szCs w:val="22"/>
          <w:lang w:val="en-ID"/>
        </w:rPr>
        <w:t xml:space="preserve"> </w:t>
      </w:r>
      <w:proofErr w:type="spellStart"/>
      <w:r w:rsidRPr="0038742B">
        <w:rPr>
          <w:sz w:val="22"/>
          <w:szCs w:val="22"/>
          <w:lang w:val="en-ID"/>
        </w:rPr>
        <w:t>dengan</w:t>
      </w:r>
      <w:proofErr w:type="spellEnd"/>
      <w:r w:rsidRPr="0038742B">
        <w:rPr>
          <w:sz w:val="22"/>
          <w:szCs w:val="22"/>
          <w:lang w:val="en-ID"/>
        </w:rPr>
        <w:t xml:space="preserve"> </w:t>
      </w:r>
      <w:proofErr w:type="spellStart"/>
      <w:r w:rsidRPr="0038742B">
        <w:rPr>
          <w:sz w:val="22"/>
          <w:szCs w:val="22"/>
          <w:lang w:val="en-ID"/>
        </w:rPr>
        <w:t>menghapus</w:t>
      </w:r>
      <w:proofErr w:type="spellEnd"/>
      <w:r w:rsidRPr="0038742B">
        <w:rPr>
          <w:sz w:val="22"/>
          <w:szCs w:val="22"/>
          <w:lang w:val="en-ID"/>
        </w:rPr>
        <w:t xml:space="preserve"> air, ligan, dan ion yang </w:t>
      </w:r>
      <w:proofErr w:type="spellStart"/>
      <w:r w:rsidRPr="0038742B">
        <w:rPr>
          <w:sz w:val="22"/>
          <w:szCs w:val="22"/>
          <w:lang w:val="en-ID"/>
        </w:rPr>
        <w:t>tidak</w:t>
      </w:r>
      <w:proofErr w:type="spellEnd"/>
      <w:r w:rsidRPr="0038742B">
        <w:rPr>
          <w:sz w:val="22"/>
          <w:szCs w:val="22"/>
          <w:lang w:val="en-ID"/>
        </w:rPr>
        <w:t xml:space="preserve"> </w:t>
      </w:r>
      <w:proofErr w:type="spellStart"/>
      <w:r w:rsidRPr="0038742B">
        <w:rPr>
          <w:sz w:val="22"/>
          <w:szCs w:val="22"/>
          <w:lang w:val="en-ID"/>
        </w:rPr>
        <w:t>diperlukan</w:t>
      </w:r>
      <w:proofErr w:type="spellEnd"/>
      <w:r w:rsidRPr="0038742B">
        <w:rPr>
          <w:sz w:val="22"/>
          <w:szCs w:val="22"/>
          <w:lang w:val="en-ID"/>
        </w:rPr>
        <w:t xml:space="preserve">. </w:t>
      </w:r>
      <w:proofErr w:type="spellStart"/>
      <w:r w:rsidRPr="0038742B">
        <w:rPr>
          <w:sz w:val="22"/>
          <w:szCs w:val="22"/>
          <w:lang w:val="en-ID"/>
        </w:rPr>
        <w:t>Kemudian</w:t>
      </w:r>
      <w:proofErr w:type="spellEnd"/>
      <w:r w:rsidRPr="0038742B">
        <w:rPr>
          <w:sz w:val="22"/>
          <w:szCs w:val="22"/>
          <w:lang w:val="en-ID"/>
        </w:rPr>
        <w:t xml:space="preserve">, </w:t>
      </w:r>
      <w:proofErr w:type="spellStart"/>
      <w:r w:rsidRPr="0038742B">
        <w:rPr>
          <w:sz w:val="22"/>
          <w:szCs w:val="22"/>
          <w:lang w:val="en-ID"/>
        </w:rPr>
        <w:t>dilakukan</w:t>
      </w:r>
      <w:proofErr w:type="spellEnd"/>
      <w:r w:rsidRPr="0038742B">
        <w:rPr>
          <w:sz w:val="22"/>
          <w:szCs w:val="22"/>
          <w:lang w:val="en-ID"/>
        </w:rPr>
        <w:t xml:space="preserve"> </w:t>
      </w:r>
      <w:proofErr w:type="spellStart"/>
      <w:r w:rsidRPr="0038742B">
        <w:rPr>
          <w:sz w:val="22"/>
          <w:szCs w:val="22"/>
          <w:lang w:val="en-ID"/>
        </w:rPr>
        <w:t>penambahan</w:t>
      </w:r>
      <w:proofErr w:type="spellEnd"/>
      <w:r w:rsidRPr="0038742B">
        <w:rPr>
          <w:sz w:val="22"/>
          <w:szCs w:val="22"/>
          <w:lang w:val="en-ID"/>
        </w:rPr>
        <w:t xml:space="preserve"> atom </w:t>
      </w:r>
      <w:proofErr w:type="spellStart"/>
      <w:r w:rsidRPr="0038742B">
        <w:rPr>
          <w:sz w:val="22"/>
          <w:szCs w:val="22"/>
          <w:lang w:val="en-ID"/>
        </w:rPr>
        <w:t>hidrogen</w:t>
      </w:r>
      <w:proofErr w:type="spellEnd"/>
      <w:r w:rsidRPr="0038742B">
        <w:rPr>
          <w:sz w:val="22"/>
          <w:szCs w:val="22"/>
          <w:lang w:val="en-ID"/>
        </w:rPr>
        <w:t xml:space="preserve"> dan </w:t>
      </w:r>
      <w:proofErr w:type="spellStart"/>
      <w:r w:rsidRPr="0038742B">
        <w:rPr>
          <w:sz w:val="22"/>
          <w:szCs w:val="22"/>
          <w:lang w:val="en-ID"/>
        </w:rPr>
        <w:t>penambahan</w:t>
      </w:r>
      <w:proofErr w:type="spellEnd"/>
      <w:r w:rsidRPr="0038742B">
        <w:rPr>
          <w:sz w:val="22"/>
          <w:szCs w:val="22"/>
          <w:lang w:val="en-ID"/>
        </w:rPr>
        <w:t xml:space="preserve"> </w:t>
      </w:r>
      <w:proofErr w:type="spellStart"/>
      <w:r w:rsidRPr="0038742B">
        <w:rPr>
          <w:sz w:val="22"/>
          <w:szCs w:val="22"/>
          <w:lang w:val="en-ID"/>
        </w:rPr>
        <w:t>muatan</w:t>
      </w:r>
      <w:proofErr w:type="spellEnd"/>
      <w:r w:rsidRPr="0038742B">
        <w:rPr>
          <w:sz w:val="22"/>
          <w:szCs w:val="22"/>
          <w:lang w:val="en-ID"/>
        </w:rPr>
        <w:t xml:space="preserve"> Kollman </w:t>
      </w:r>
      <w:proofErr w:type="spellStart"/>
      <w:r w:rsidRPr="0038742B">
        <w:rPr>
          <w:sz w:val="22"/>
          <w:szCs w:val="22"/>
          <w:lang w:val="en-ID"/>
        </w:rPr>
        <w:t>menggunakan</w:t>
      </w:r>
      <w:proofErr w:type="spellEnd"/>
      <w:r w:rsidRPr="0038742B">
        <w:rPr>
          <w:sz w:val="22"/>
          <w:szCs w:val="22"/>
          <w:lang w:val="en-ID"/>
        </w:rPr>
        <w:t xml:space="preserve"> </w:t>
      </w:r>
      <w:proofErr w:type="spellStart"/>
      <w:r w:rsidRPr="0038742B">
        <w:rPr>
          <w:sz w:val="22"/>
          <w:szCs w:val="22"/>
          <w:lang w:val="en-ID"/>
        </w:rPr>
        <w:t>perangkat</w:t>
      </w:r>
      <w:proofErr w:type="spellEnd"/>
      <w:r w:rsidRPr="0038742B">
        <w:rPr>
          <w:sz w:val="22"/>
          <w:szCs w:val="22"/>
          <w:lang w:val="en-ID"/>
        </w:rPr>
        <w:t xml:space="preserve"> </w:t>
      </w:r>
      <w:proofErr w:type="spellStart"/>
      <w:r w:rsidRPr="0038742B">
        <w:rPr>
          <w:sz w:val="22"/>
          <w:szCs w:val="22"/>
          <w:lang w:val="en-ID"/>
        </w:rPr>
        <w:t>lunak</w:t>
      </w:r>
      <w:proofErr w:type="spellEnd"/>
      <w:r w:rsidRPr="0038742B">
        <w:rPr>
          <w:sz w:val="22"/>
          <w:szCs w:val="22"/>
          <w:lang w:val="en-ID"/>
        </w:rPr>
        <w:t xml:space="preserve"> </w:t>
      </w:r>
      <w:proofErr w:type="spellStart"/>
      <w:r w:rsidRPr="0038742B">
        <w:rPr>
          <w:sz w:val="22"/>
          <w:szCs w:val="22"/>
          <w:lang w:val="en-ID"/>
        </w:rPr>
        <w:t>AutoDockTools</w:t>
      </w:r>
      <w:proofErr w:type="spellEnd"/>
      <w:r w:rsidR="006D16D8">
        <w:rPr>
          <w:sz w:val="22"/>
          <w:szCs w:val="22"/>
          <w:lang w:val="en-ID"/>
        </w:rPr>
        <w:t xml:space="preserve"> 1.5.6</w:t>
      </w:r>
      <w:r w:rsidR="00681E51">
        <w:rPr>
          <w:sz w:val="22"/>
          <w:szCs w:val="22"/>
          <w:lang w:val="en-ID"/>
        </w:rPr>
        <w:t xml:space="preserve"> </w:t>
      </w:r>
      <w:r w:rsidR="00681E51">
        <w:rPr>
          <w:sz w:val="22"/>
          <w:szCs w:val="22"/>
          <w:lang w:val="en-ID"/>
        </w:rPr>
        <w:fldChar w:fldCharType="begin" w:fldLock="1"/>
      </w:r>
      <w:r w:rsidR="00681E51">
        <w:rPr>
          <w:sz w:val="22"/>
          <w:szCs w:val="22"/>
          <w:lang w:val="en-ID"/>
        </w:rPr>
        <w:instrText>ADDIN CSL_CITATION {"citationItems":[{"id":"ITEM-1","itemData":{"DOI":"10.1016/j.crstbi.2024.100125","ISSN":"2665-928X (Electronic)","PMID":"38282755","abstract":"The EGFR-C797S resistance mutation to third-generation drugs has been overcome by  fourth-generation inhibitors, allosteric inhibitors, namely EAI045 and has reached phase 3 clinical trials, so the Allosteric Site is currently an attractive target for development. In this study, researchers are interested in knowing the activity of metabolite compounds from marine natural ingredients Clathria Sp. against the Allosteric Site of EGFR computationally. The methods used include molecular docking using Autodock4 software and Molecular Dynamics simulation performed using GROMACS software. The research began with the preparation of metabolite samples from Clathria Sp. through the KnapSack database site and the preparation of EGFR receptors that have been complexed with allosteric inhibitors, namely proteins with PDB code 5D41. Each compound was docked to the Allosteric Site of the natural ligand and then molecular dynamics simulations were performed on the compound with the best docking energy compared to the natural ligand. From the docking results, the Clathrin_A compound showed the lowest binding energy compared to other metabolites, and the value was close to the natural ligand. Then from the molecular dynamics results, the clathrin_A compound shows good stability and resembles the natural ligand, which is analyzed through RMSD, RMSF, SASA, Rg, and PCA, and shows the binding free energy from MMPBSA analysis which is close to the natural ligand. It can be concluded, Clathrin_A compound has potential as an allosteric inhibitor.","author":[{"dropping-particle":"","family":"Nurisyah","given":"","non-dropping-particle":"","parse-names":false,"suffix":""},{"dropping-particle":"","family":"Ramadhan","given":"Dwi Syah Fitra","non-dropping-particle":"","parse-names":false,"suffix":""},{"dropping-particle":"","family":"Dewi","given":"Ratnasari","non-dropping-particle":"","parse-names":false,"suffix":""},{"dropping-particle":"","family":"Asikin","given":"Asyhari","non-dropping-particle":"","parse-names":false,"suffix":""},{"dropping-particle":"","family":"Daswi","given":"Dwi Rachmawaty","non-dropping-particle":"","parse-names":false,"suffix":""},{"dropping-particle":"","family":"Adam","given":"Adriyani","non-dropping-particle":"","parse-names":false,"suffix":""},{"dropping-particle":"","family":"Chaerunnimah","given":"","non-dropping-particle":"","parse-names":false,"suffix":""},{"dropping-particle":"","family":"Sunarto","given":"","non-dropping-particle":"","parse-names":false,"suffix":""},{"dropping-particle":"","family":"Rafika","given":"","non-dropping-particle":"","parse-names":false,"suffix":""},{"dropping-particle":"","family":"Artati","given":"","non-dropping-particle":"","parse-names":false,"suffix":""},{"dropping-particle":"","family":"Fakih","given":"Taufik Muhammad","non-dropping-particle":"","parse-names":false,"suffix":""}],"container-title":"Current research in structural biology","id":"ITEM-1","issued":{"date-parts":[["2024"]]},"language":"eng","page":"100125","publisher-place":"Netherlands","title":"Targeting EGFR allosteric site with marine-natural products of Clathria Sp.: A  computational approach.","type":"article-journal","volume":"7"},"uris":["http://www.mendeley.com/documents/?uuid=c52d2570-d98b-466f-9a34-20bed08f4252"]}],"mendeley":{"formattedCitation":"(Nurisyah et al., 2024)","plainTextFormattedCitation":"(Nurisyah et al., 2024)","previouslyFormattedCitation":"(Nurisyah et al., 2024)"},"properties":{"noteIndex":0},"schema":"https://github.com/citation-style-language/schema/raw/master/csl-citation.json"}</w:instrText>
      </w:r>
      <w:r w:rsidR="00681E51">
        <w:rPr>
          <w:sz w:val="22"/>
          <w:szCs w:val="22"/>
          <w:lang w:val="en-ID"/>
        </w:rPr>
        <w:fldChar w:fldCharType="separate"/>
      </w:r>
      <w:r w:rsidR="00681E51" w:rsidRPr="00681E51">
        <w:rPr>
          <w:noProof/>
          <w:sz w:val="22"/>
          <w:szCs w:val="22"/>
          <w:lang w:val="en-ID"/>
        </w:rPr>
        <w:t>(Nurisyah et al., 2024)</w:t>
      </w:r>
      <w:r w:rsidR="00681E51">
        <w:rPr>
          <w:sz w:val="22"/>
          <w:szCs w:val="22"/>
          <w:lang w:val="en-ID"/>
        </w:rPr>
        <w:fldChar w:fldCharType="end"/>
      </w:r>
      <w:r w:rsidRPr="0038742B">
        <w:rPr>
          <w:sz w:val="22"/>
          <w:szCs w:val="22"/>
          <w:lang w:val="en-ID"/>
        </w:rPr>
        <w:t>.</w:t>
      </w:r>
    </w:p>
    <w:p w14:paraId="5877279C" w14:textId="77777777" w:rsidR="00F22D99" w:rsidRDefault="0038742B" w:rsidP="00256F0D">
      <w:pPr>
        <w:spacing w:before="240" w:line="288" w:lineRule="auto"/>
        <w:ind w:right="43"/>
        <w:jc w:val="both"/>
        <w:rPr>
          <w:b/>
          <w:bCs/>
          <w:sz w:val="22"/>
          <w:szCs w:val="22"/>
          <w:lang w:val="en-ID"/>
        </w:rPr>
      </w:pPr>
      <w:proofErr w:type="spellStart"/>
      <w:r w:rsidRPr="0038742B">
        <w:rPr>
          <w:b/>
          <w:bCs/>
          <w:sz w:val="22"/>
          <w:szCs w:val="22"/>
          <w:lang w:val="en-ID"/>
        </w:rPr>
        <w:t>Penyusunan</w:t>
      </w:r>
      <w:proofErr w:type="spellEnd"/>
      <w:r w:rsidRPr="0038742B">
        <w:rPr>
          <w:b/>
          <w:bCs/>
          <w:sz w:val="22"/>
          <w:szCs w:val="22"/>
          <w:lang w:val="en-ID"/>
        </w:rPr>
        <w:t xml:space="preserve"> Grid Box</w:t>
      </w:r>
    </w:p>
    <w:p w14:paraId="623AA1D0" w14:textId="5BF55397" w:rsidR="00F22D99" w:rsidRPr="0038742B" w:rsidRDefault="0038742B" w:rsidP="00256F0D">
      <w:pPr>
        <w:spacing w:line="288" w:lineRule="auto"/>
        <w:ind w:right="43"/>
        <w:jc w:val="both"/>
        <w:rPr>
          <w:sz w:val="22"/>
          <w:szCs w:val="22"/>
          <w:lang w:val="en-ID"/>
        </w:rPr>
      </w:pPr>
      <w:r w:rsidRPr="0038742B">
        <w:rPr>
          <w:sz w:val="22"/>
          <w:szCs w:val="22"/>
          <w:lang w:val="en-ID"/>
        </w:rPr>
        <w:t xml:space="preserve">Grid box </w:t>
      </w:r>
      <w:proofErr w:type="spellStart"/>
      <w:r w:rsidRPr="0038742B">
        <w:rPr>
          <w:sz w:val="22"/>
          <w:szCs w:val="22"/>
          <w:lang w:val="en-ID"/>
        </w:rPr>
        <w:t>untuk</w:t>
      </w:r>
      <w:proofErr w:type="spellEnd"/>
      <w:r w:rsidRPr="0038742B">
        <w:rPr>
          <w:sz w:val="22"/>
          <w:szCs w:val="22"/>
          <w:lang w:val="en-ID"/>
        </w:rPr>
        <w:t xml:space="preserve"> </w:t>
      </w:r>
      <w:proofErr w:type="spellStart"/>
      <w:r w:rsidRPr="0038742B">
        <w:rPr>
          <w:sz w:val="22"/>
          <w:szCs w:val="22"/>
          <w:lang w:val="en-ID"/>
        </w:rPr>
        <w:t>pemetaan</w:t>
      </w:r>
      <w:proofErr w:type="spellEnd"/>
      <w:r w:rsidRPr="0038742B">
        <w:rPr>
          <w:sz w:val="22"/>
          <w:szCs w:val="22"/>
          <w:lang w:val="en-ID"/>
        </w:rPr>
        <w:t xml:space="preserve"> situs </w:t>
      </w:r>
      <w:proofErr w:type="spellStart"/>
      <w:r w:rsidRPr="0038742B">
        <w:rPr>
          <w:sz w:val="22"/>
          <w:szCs w:val="22"/>
          <w:lang w:val="en-ID"/>
        </w:rPr>
        <w:t>aktif</w:t>
      </w:r>
      <w:proofErr w:type="spellEnd"/>
      <w:r w:rsidRPr="0038742B">
        <w:rPr>
          <w:sz w:val="22"/>
          <w:szCs w:val="22"/>
          <w:lang w:val="en-ID"/>
        </w:rPr>
        <w:t xml:space="preserve"> </w:t>
      </w:r>
      <w:proofErr w:type="spellStart"/>
      <w:r w:rsidRPr="0038742B">
        <w:rPr>
          <w:sz w:val="22"/>
          <w:szCs w:val="22"/>
          <w:lang w:val="en-ID"/>
        </w:rPr>
        <w:t>dari</w:t>
      </w:r>
      <w:proofErr w:type="spellEnd"/>
      <w:r w:rsidRPr="0038742B">
        <w:rPr>
          <w:sz w:val="22"/>
          <w:szCs w:val="22"/>
          <w:lang w:val="en-ID"/>
        </w:rPr>
        <w:t xml:space="preserve"> SGLT-2 </w:t>
      </w:r>
      <w:proofErr w:type="spellStart"/>
      <w:r w:rsidRPr="0038742B">
        <w:rPr>
          <w:sz w:val="22"/>
          <w:szCs w:val="22"/>
          <w:lang w:val="en-ID"/>
        </w:rPr>
        <w:t>ditentukan</w:t>
      </w:r>
      <w:proofErr w:type="spellEnd"/>
      <w:r w:rsidRPr="0038742B">
        <w:rPr>
          <w:sz w:val="22"/>
          <w:szCs w:val="22"/>
          <w:lang w:val="en-ID"/>
        </w:rPr>
        <w:t xml:space="preserve"> </w:t>
      </w:r>
      <w:proofErr w:type="spellStart"/>
      <w:r w:rsidRPr="0038742B">
        <w:rPr>
          <w:sz w:val="22"/>
          <w:szCs w:val="22"/>
          <w:lang w:val="en-ID"/>
        </w:rPr>
        <w:t>dengan</w:t>
      </w:r>
      <w:proofErr w:type="spellEnd"/>
      <w:r w:rsidRPr="0038742B">
        <w:rPr>
          <w:sz w:val="22"/>
          <w:szCs w:val="22"/>
          <w:lang w:val="en-ID"/>
        </w:rPr>
        <w:t xml:space="preserve"> </w:t>
      </w:r>
      <w:proofErr w:type="spellStart"/>
      <w:r w:rsidRPr="0038742B">
        <w:rPr>
          <w:sz w:val="22"/>
          <w:szCs w:val="22"/>
          <w:lang w:val="en-ID"/>
        </w:rPr>
        <w:t>menggunakan</w:t>
      </w:r>
      <w:proofErr w:type="spellEnd"/>
      <w:r w:rsidRPr="0038742B">
        <w:rPr>
          <w:sz w:val="22"/>
          <w:szCs w:val="22"/>
          <w:lang w:val="en-ID"/>
        </w:rPr>
        <w:t xml:space="preserve"> </w:t>
      </w:r>
      <w:proofErr w:type="spellStart"/>
      <w:r w:rsidRPr="0038742B">
        <w:rPr>
          <w:sz w:val="22"/>
          <w:szCs w:val="22"/>
          <w:lang w:val="en-ID"/>
        </w:rPr>
        <w:t>perangkat</w:t>
      </w:r>
      <w:proofErr w:type="spellEnd"/>
      <w:r w:rsidRPr="0038742B">
        <w:rPr>
          <w:sz w:val="22"/>
          <w:szCs w:val="22"/>
          <w:lang w:val="en-ID"/>
        </w:rPr>
        <w:t xml:space="preserve"> </w:t>
      </w:r>
      <w:proofErr w:type="spellStart"/>
      <w:r w:rsidRPr="0038742B">
        <w:rPr>
          <w:sz w:val="22"/>
          <w:szCs w:val="22"/>
          <w:lang w:val="en-ID"/>
        </w:rPr>
        <w:t>lunak</w:t>
      </w:r>
      <w:proofErr w:type="spellEnd"/>
      <w:r w:rsidRPr="0038742B">
        <w:rPr>
          <w:sz w:val="22"/>
          <w:szCs w:val="22"/>
          <w:lang w:val="en-ID"/>
        </w:rPr>
        <w:t xml:space="preserve"> </w:t>
      </w:r>
      <w:r w:rsidR="00F22D99">
        <w:rPr>
          <w:sz w:val="22"/>
          <w:szCs w:val="22"/>
          <w:lang w:val="en-ID"/>
        </w:rPr>
        <w:t xml:space="preserve">Discovery Studio 2017 dan </w:t>
      </w:r>
      <w:proofErr w:type="spellStart"/>
      <w:r w:rsidR="00F22D99">
        <w:rPr>
          <w:sz w:val="22"/>
          <w:szCs w:val="22"/>
          <w:lang w:val="en-ID"/>
        </w:rPr>
        <w:t>AutoDockTools</w:t>
      </w:r>
      <w:proofErr w:type="spellEnd"/>
      <w:r w:rsidR="00F22D99">
        <w:rPr>
          <w:sz w:val="22"/>
          <w:szCs w:val="22"/>
          <w:lang w:val="en-ID"/>
        </w:rPr>
        <w:t xml:space="preserve"> 1.5.6</w:t>
      </w:r>
      <w:r w:rsidRPr="0038742B">
        <w:rPr>
          <w:sz w:val="22"/>
          <w:szCs w:val="22"/>
          <w:lang w:val="en-ID"/>
        </w:rPr>
        <w:t xml:space="preserve">. Grid box </w:t>
      </w:r>
      <w:proofErr w:type="spellStart"/>
      <w:r w:rsidRPr="0038742B">
        <w:rPr>
          <w:sz w:val="22"/>
          <w:szCs w:val="22"/>
          <w:lang w:val="en-ID"/>
        </w:rPr>
        <w:t>ini</w:t>
      </w:r>
      <w:proofErr w:type="spellEnd"/>
      <w:r w:rsidRPr="0038742B">
        <w:rPr>
          <w:sz w:val="22"/>
          <w:szCs w:val="22"/>
          <w:lang w:val="en-ID"/>
        </w:rPr>
        <w:t xml:space="preserve"> </w:t>
      </w:r>
      <w:proofErr w:type="spellStart"/>
      <w:r w:rsidRPr="0038742B">
        <w:rPr>
          <w:sz w:val="22"/>
          <w:szCs w:val="22"/>
          <w:lang w:val="en-ID"/>
        </w:rPr>
        <w:t>diatur</w:t>
      </w:r>
      <w:proofErr w:type="spellEnd"/>
      <w:r w:rsidRPr="0038742B">
        <w:rPr>
          <w:sz w:val="22"/>
          <w:szCs w:val="22"/>
          <w:lang w:val="en-ID"/>
        </w:rPr>
        <w:t xml:space="preserve"> </w:t>
      </w:r>
      <w:proofErr w:type="spellStart"/>
      <w:r w:rsidRPr="0038742B">
        <w:rPr>
          <w:sz w:val="22"/>
          <w:szCs w:val="22"/>
          <w:lang w:val="en-ID"/>
        </w:rPr>
        <w:t>mencakup</w:t>
      </w:r>
      <w:proofErr w:type="spellEnd"/>
      <w:r w:rsidRPr="0038742B">
        <w:rPr>
          <w:sz w:val="22"/>
          <w:szCs w:val="22"/>
          <w:lang w:val="en-ID"/>
        </w:rPr>
        <w:t xml:space="preserve"> wilayah yang </w:t>
      </w:r>
      <w:proofErr w:type="spellStart"/>
      <w:r w:rsidRPr="0038742B">
        <w:rPr>
          <w:sz w:val="22"/>
          <w:szCs w:val="22"/>
          <w:lang w:val="en-ID"/>
        </w:rPr>
        <w:t>relevan</w:t>
      </w:r>
      <w:proofErr w:type="spellEnd"/>
      <w:r w:rsidRPr="0038742B">
        <w:rPr>
          <w:sz w:val="22"/>
          <w:szCs w:val="22"/>
          <w:lang w:val="en-ID"/>
        </w:rPr>
        <w:t xml:space="preserve"> pada situs </w:t>
      </w:r>
      <w:proofErr w:type="spellStart"/>
      <w:r w:rsidRPr="0038742B">
        <w:rPr>
          <w:sz w:val="22"/>
          <w:szCs w:val="22"/>
          <w:lang w:val="en-ID"/>
        </w:rPr>
        <w:t>pengikatan</w:t>
      </w:r>
      <w:proofErr w:type="spellEnd"/>
      <w:r w:rsidR="00F22D99">
        <w:rPr>
          <w:sz w:val="22"/>
          <w:szCs w:val="22"/>
          <w:lang w:val="en-ID"/>
        </w:rPr>
        <w:t xml:space="preserve"> native ligand </w:t>
      </w:r>
      <w:proofErr w:type="spellStart"/>
      <w:r w:rsidR="00F22D99">
        <w:rPr>
          <w:sz w:val="22"/>
          <w:szCs w:val="22"/>
          <w:lang w:val="en-ID"/>
        </w:rPr>
        <w:t>dari</w:t>
      </w:r>
      <w:proofErr w:type="spellEnd"/>
      <w:r w:rsidR="00F22D99">
        <w:rPr>
          <w:sz w:val="22"/>
          <w:szCs w:val="22"/>
          <w:lang w:val="en-ID"/>
        </w:rPr>
        <w:t xml:space="preserve"> </w:t>
      </w:r>
      <w:proofErr w:type="spellStart"/>
      <w:r w:rsidR="00F22D99">
        <w:rPr>
          <w:sz w:val="22"/>
          <w:szCs w:val="22"/>
          <w:lang w:val="en-ID"/>
        </w:rPr>
        <w:t>reseptor</w:t>
      </w:r>
      <w:proofErr w:type="spellEnd"/>
      <w:r w:rsidR="00F22D99">
        <w:rPr>
          <w:sz w:val="22"/>
          <w:szCs w:val="22"/>
          <w:lang w:val="en-ID"/>
        </w:rPr>
        <w:t xml:space="preserve"> yang </w:t>
      </w:r>
      <w:proofErr w:type="spellStart"/>
      <w:r w:rsidR="00F22D99">
        <w:rPr>
          <w:sz w:val="22"/>
          <w:szCs w:val="22"/>
          <w:lang w:val="en-ID"/>
        </w:rPr>
        <w:t>merupakan</w:t>
      </w:r>
      <w:proofErr w:type="spellEnd"/>
      <w:r w:rsidR="00F22D99">
        <w:rPr>
          <w:sz w:val="22"/>
          <w:szCs w:val="22"/>
          <w:lang w:val="en-ID"/>
        </w:rPr>
        <w:t xml:space="preserve"> </w:t>
      </w:r>
      <w:proofErr w:type="spellStart"/>
      <w:r w:rsidR="00F22D99">
        <w:rPr>
          <w:sz w:val="22"/>
          <w:szCs w:val="22"/>
          <w:lang w:val="en-ID"/>
        </w:rPr>
        <w:t>senyawa</w:t>
      </w:r>
      <w:proofErr w:type="spellEnd"/>
      <w:r w:rsidR="00F22D99">
        <w:rPr>
          <w:sz w:val="22"/>
          <w:szCs w:val="22"/>
          <w:lang w:val="en-ID"/>
        </w:rPr>
        <w:t xml:space="preserve"> </w:t>
      </w:r>
      <w:r w:rsidR="00F22D99" w:rsidRPr="00F22D99">
        <w:rPr>
          <w:sz w:val="22"/>
          <w:szCs w:val="22"/>
          <w:lang w:val="en-ID"/>
        </w:rPr>
        <w:t>empagliflozin</w:t>
      </w:r>
      <w:r w:rsidR="00F22D99">
        <w:rPr>
          <w:sz w:val="22"/>
          <w:szCs w:val="22"/>
          <w:lang w:val="en-ID"/>
        </w:rPr>
        <w:t xml:space="preserve"> yang </w:t>
      </w:r>
      <w:proofErr w:type="spellStart"/>
      <w:r w:rsidR="00F22D99">
        <w:rPr>
          <w:sz w:val="22"/>
          <w:szCs w:val="22"/>
          <w:lang w:val="en-ID"/>
        </w:rPr>
        <w:t>telah</w:t>
      </w:r>
      <w:proofErr w:type="spellEnd"/>
      <w:r w:rsidR="00F22D99">
        <w:rPr>
          <w:sz w:val="22"/>
          <w:szCs w:val="22"/>
          <w:lang w:val="en-ID"/>
        </w:rPr>
        <w:t xml:space="preserve"> </w:t>
      </w:r>
      <w:proofErr w:type="spellStart"/>
      <w:r w:rsidR="00F22D99">
        <w:rPr>
          <w:sz w:val="22"/>
          <w:szCs w:val="22"/>
          <w:lang w:val="en-ID"/>
        </w:rPr>
        <w:t>terkristal</w:t>
      </w:r>
      <w:proofErr w:type="spellEnd"/>
      <w:r w:rsidR="00F22D99">
        <w:rPr>
          <w:sz w:val="22"/>
          <w:szCs w:val="22"/>
          <w:lang w:val="en-ID"/>
        </w:rPr>
        <w:t xml:space="preserve"> </w:t>
      </w:r>
      <w:proofErr w:type="spellStart"/>
      <w:r w:rsidR="00F22D99">
        <w:rPr>
          <w:sz w:val="22"/>
          <w:szCs w:val="22"/>
          <w:lang w:val="en-ID"/>
        </w:rPr>
        <w:t>dalam</w:t>
      </w:r>
      <w:proofErr w:type="spellEnd"/>
      <w:r w:rsidR="00F22D99">
        <w:rPr>
          <w:sz w:val="22"/>
          <w:szCs w:val="22"/>
          <w:lang w:val="en-ID"/>
        </w:rPr>
        <w:t xml:space="preserve"> </w:t>
      </w:r>
      <w:proofErr w:type="spellStart"/>
      <w:r w:rsidR="00F22D99">
        <w:rPr>
          <w:sz w:val="22"/>
          <w:szCs w:val="22"/>
          <w:lang w:val="en-ID"/>
        </w:rPr>
        <w:t>reseptor</w:t>
      </w:r>
      <w:proofErr w:type="spellEnd"/>
      <w:r w:rsidR="00F22D99">
        <w:rPr>
          <w:sz w:val="22"/>
          <w:szCs w:val="22"/>
          <w:lang w:val="en-ID"/>
        </w:rPr>
        <w:t xml:space="preserve"> 7VSI</w:t>
      </w:r>
      <w:r w:rsidRPr="0038742B">
        <w:rPr>
          <w:sz w:val="22"/>
          <w:szCs w:val="22"/>
          <w:lang w:val="en-ID"/>
        </w:rPr>
        <w:t>.</w:t>
      </w:r>
    </w:p>
    <w:p w14:paraId="7E5E9B46" w14:textId="77777777" w:rsidR="00F22D99" w:rsidRDefault="0038742B" w:rsidP="00256F0D">
      <w:pPr>
        <w:spacing w:before="240" w:line="288" w:lineRule="auto"/>
        <w:ind w:right="43"/>
        <w:jc w:val="both"/>
        <w:rPr>
          <w:b/>
          <w:bCs/>
          <w:sz w:val="22"/>
          <w:szCs w:val="22"/>
          <w:lang w:val="en-ID"/>
        </w:rPr>
      </w:pPr>
      <w:r w:rsidRPr="0038742B">
        <w:rPr>
          <w:b/>
          <w:bCs/>
          <w:sz w:val="22"/>
          <w:szCs w:val="22"/>
          <w:lang w:val="en-ID"/>
        </w:rPr>
        <w:t xml:space="preserve">Proses </w:t>
      </w:r>
      <w:r w:rsidR="0038409E" w:rsidRPr="0038409E">
        <w:rPr>
          <w:b/>
          <w:bCs/>
          <w:i/>
          <w:iCs/>
          <w:sz w:val="22"/>
          <w:szCs w:val="22"/>
          <w:lang w:val="en-ID"/>
        </w:rPr>
        <w:t>Molecular docking</w:t>
      </w:r>
    </w:p>
    <w:p w14:paraId="0E77D028" w14:textId="77777777" w:rsidR="00CF6366" w:rsidRPr="00CF6366" w:rsidRDefault="00E67E8A" w:rsidP="00CF6366">
      <w:pPr>
        <w:spacing w:line="288" w:lineRule="auto"/>
        <w:ind w:right="43"/>
        <w:jc w:val="both"/>
        <w:rPr>
          <w:sz w:val="22"/>
          <w:szCs w:val="22"/>
          <w:lang w:val="en-ID"/>
        </w:rPr>
      </w:pPr>
      <w:r>
        <w:rPr>
          <w:sz w:val="22"/>
          <w:szCs w:val="22"/>
        </w:rPr>
        <w:t xml:space="preserve">Docking </w:t>
      </w:r>
      <w:proofErr w:type="spellStart"/>
      <w:r>
        <w:rPr>
          <w:sz w:val="22"/>
          <w:szCs w:val="22"/>
        </w:rPr>
        <w:t>dilakukan</w:t>
      </w:r>
      <w:proofErr w:type="spellEnd"/>
      <w:r>
        <w:rPr>
          <w:sz w:val="22"/>
          <w:szCs w:val="22"/>
        </w:rPr>
        <w:t xml:space="preserve"> </w:t>
      </w:r>
      <w:proofErr w:type="spellStart"/>
      <w:r w:rsidRPr="0038742B">
        <w:rPr>
          <w:sz w:val="22"/>
          <w:szCs w:val="22"/>
          <w:lang w:val="en-ID"/>
        </w:rPr>
        <w:t>dengan</w:t>
      </w:r>
      <w:proofErr w:type="spellEnd"/>
      <w:r w:rsidRPr="0038742B">
        <w:rPr>
          <w:sz w:val="22"/>
          <w:szCs w:val="22"/>
          <w:lang w:val="en-ID"/>
        </w:rPr>
        <w:t xml:space="preserve"> 100 kali </w:t>
      </w:r>
      <w:proofErr w:type="spellStart"/>
      <w:r w:rsidRPr="0038742B">
        <w:rPr>
          <w:sz w:val="22"/>
          <w:szCs w:val="22"/>
          <w:lang w:val="en-ID"/>
        </w:rPr>
        <w:t>iterasi</w:t>
      </w:r>
      <w:proofErr w:type="spellEnd"/>
      <w:r w:rsidRPr="0038742B">
        <w:rPr>
          <w:sz w:val="22"/>
          <w:szCs w:val="22"/>
          <w:lang w:val="en-ID"/>
        </w:rPr>
        <w:t xml:space="preserve"> </w:t>
      </w:r>
      <w:proofErr w:type="spellStart"/>
      <w:r w:rsidRPr="0038742B">
        <w:rPr>
          <w:sz w:val="22"/>
          <w:szCs w:val="22"/>
          <w:lang w:val="en-ID"/>
        </w:rPr>
        <w:t>untuk</w:t>
      </w:r>
      <w:proofErr w:type="spellEnd"/>
      <w:r w:rsidRPr="0038742B">
        <w:rPr>
          <w:sz w:val="22"/>
          <w:szCs w:val="22"/>
          <w:lang w:val="en-ID"/>
        </w:rPr>
        <w:t xml:space="preserve"> </w:t>
      </w:r>
      <w:proofErr w:type="spellStart"/>
      <w:r w:rsidRPr="0038742B">
        <w:rPr>
          <w:sz w:val="22"/>
          <w:szCs w:val="22"/>
          <w:lang w:val="en-ID"/>
        </w:rPr>
        <w:t>mengoptimalkan</w:t>
      </w:r>
      <w:proofErr w:type="spellEnd"/>
      <w:r w:rsidRPr="0038742B">
        <w:rPr>
          <w:sz w:val="22"/>
          <w:szCs w:val="22"/>
          <w:lang w:val="en-ID"/>
        </w:rPr>
        <w:t xml:space="preserve"> </w:t>
      </w:r>
      <w:proofErr w:type="spellStart"/>
      <w:r w:rsidRPr="0038742B">
        <w:rPr>
          <w:sz w:val="22"/>
          <w:szCs w:val="22"/>
          <w:lang w:val="en-ID"/>
        </w:rPr>
        <w:t>konformasi</w:t>
      </w:r>
      <w:proofErr w:type="spellEnd"/>
      <w:r w:rsidRPr="0038742B">
        <w:rPr>
          <w:sz w:val="22"/>
          <w:szCs w:val="22"/>
          <w:lang w:val="en-ID"/>
        </w:rPr>
        <w:t xml:space="preserve"> </w:t>
      </w:r>
      <w:proofErr w:type="spellStart"/>
      <w:r w:rsidRPr="0038742B">
        <w:rPr>
          <w:sz w:val="22"/>
          <w:szCs w:val="22"/>
          <w:lang w:val="en-ID"/>
        </w:rPr>
        <w:t>terbaik</w:t>
      </w:r>
      <w:proofErr w:type="spellEnd"/>
      <w:r w:rsidRPr="0038742B">
        <w:rPr>
          <w:sz w:val="22"/>
          <w:szCs w:val="22"/>
          <w:lang w:val="en-ID"/>
        </w:rPr>
        <w:t xml:space="preserve"> </w:t>
      </w:r>
      <w:proofErr w:type="spellStart"/>
      <w:r w:rsidRPr="0038742B">
        <w:rPr>
          <w:sz w:val="22"/>
          <w:szCs w:val="22"/>
          <w:lang w:val="en-ID"/>
        </w:rPr>
        <w:t>dari</w:t>
      </w:r>
      <w:proofErr w:type="spellEnd"/>
      <w:r w:rsidRPr="0038742B">
        <w:rPr>
          <w:sz w:val="22"/>
          <w:szCs w:val="22"/>
          <w:lang w:val="en-ID"/>
        </w:rPr>
        <w:t xml:space="preserve"> ligan di situs </w:t>
      </w:r>
      <w:proofErr w:type="spellStart"/>
      <w:r w:rsidRPr="0038742B">
        <w:rPr>
          <w:sz w:val="22"/>
          <w:szCs w:val="22"/>
          <w:lang w:val="en-ID"/>
        </w:rPr>
        <w:t>pengikatan</w:t>
      </w:r>
      <w:proofErr w:type="spellEnd"/>
      <w:r w:rsidRPr="0038742B">
        <w:rPr>
          <w:sz w:val="22"/>
          <w:szCs w:val="22"/>
          <w:lang w:val="en-ID"/>
        </w:rPr>
        <w:t xml:space="preserve"> SGLT-2</w:t>
      </w:r>
      <w:r w:rsidR="00681E51">
        <w:rPr>
          <w:sz w:val="22"/>
          <w:szCs w:val="22"/>
          <w:lang w:val="en-ID"/>
        </w:rPr>
        <w:t xml:space="preserve"> </w:t>
      </w:r>
      <w:r w:rsidR="00681E51">
        <w:rPr>
          <w:sz w:val="22"/>
          <w:szCs w:val="22"/>
          <w:lang w:val="en-ID"/>
        </w:rPr>
        <w:fldChar w:fldCharType="begin" w:fldLock="1"/>
      </w:r>
      <w:r w:rsidR="00681E51">
        <w:rPr>
          <w:sz w:val="22"/>
          <w:szCs w:val="22"/>
          <w:lang w:val="en-ID"/>
        </w:rPr>
        <w:instrText>ADDIN CSL_CITATION {"citationItems":[{"id":"ITEM-1","itemData":{"author":[{"dropping-particle":"","family":"Syah","given":"Dwi","non-dropping-particle":"","parse-names":false,"suffix":""},{"dropping-particle":"","family":"Ramadhan","given":"Fitra","non-dropping-particle":"","parse-names":false,"suffix":""},{"dropping-particle":"","family":"Fakih","given":"Taufik Muhammad","non-dropping-particle":"","parse-names":false,"suffix":""}],"id":"ITEM-1","issue":"4","issued":{"date-parts":[["2020"]]},"page":"235-242","title":"Activity Prediction of Bioactive Compounds Contained in Etlingera elatior Against the SARS-CoV-2 Main Protease : An In Silico Approach","type":"article-journal","volume":"3"},"uris":["http://www.mendeley.com/documents/?uuid=48544d5d-5ed7-4b1d-a825-37444b9a933c"]}],"mendeley":{"formattedCitation":"(Syah et al., 2020)","plainTextFormattedCitation":"(Syah et al., 2020)","previouslyFormattedCitation":"(Syah et al., 2020)"},"properties":{"noteIndex":0},"schema":"https://github.com/citation-style-language/schema/raw/master/csl-citation.json"}</w:instrText>
      </w:r>
      <w:r w:rsidR="00681E51">
        <w:rPr>
          <w:sz w:val="22"/>
          <w:szCs w:val="22"/>
          <w:lang w:val="en-ID"/>
        </w:rPr>
        <w:fldChar w:fldCharType="separate"/>
      </w:r>
      <w:r w:rsidR="00681E51" w:rsidRPr="00681E51">
        <w:rPr>
          <w:noProof/>
          <w:sz w:val="22"/>
          <w:szCs w:val="22"/>
          <w:lang w:val="en-ID"/>
        </w:rPr>
        <w:t>(Syah et al., 2020)</w:t>
      </w:r>
      <w:r w:rsidR="00681E51">
        <w:rPr>
          <w:sz w:val="22"/>
          <w:szCs w:val="22"/>
          <w:lang w:val="en-ID"/>
        </w:rPr>
        <w:fldChar w:fldCharType="end"/>
      </w:r>
      <w:r w:rsidRPr="0038742B">
        <w:rPr>
          <w:sz w:val="22"/>
          <w:szCs w:val="22"/>
          <w:lang w:val="en-ID"/>
        </w:rPr>
        <w:t xml:space="preserve">. </w:t>
      </w:r>
      <w:proofErr w:type="spellStart"/>
      <w:r w:rsidRPr="0038742B">
        <w:rPr>
          <w:sz w:val="22"/>
          <w:szCs w:val="22"/>
          <w:lang w:val="en-ID"/>
        </w:rPr>
        <w:t>Selama</w:t>
      </w:r>
      <w:proofErr w:type="spellEnd"/>
      <w:r w:rsidRPr="0038742B">
        <w:rPr>
          <w:sz w:val="22"/>
          <w:szCs w:val="22"/>
          <w:lang w:val="en-ID"/>
        </w:rPr>
        <w:t xml:space="preserve"> docking, </w:t>
      </w:r>
      <w:proofErr w:type="spellStart"/>
      <w:r w:rsidRPr="0038742B">
        <w:rPr>
          <w:sz w:val="22"/>
          <w:szCs w:val="22"/>
          <w:lang w:val="en-ID"/>
        </w:rPr>
        <w:t>digunakan</w:t>
      </w:r>
      <w:proofErr w:type="spellEnd"/>
      <w:r w:rsidRPr="0038742B">
        <w:rPr>
          <w:sz w:val="22"/>
          <w:szCs w:val="22"/>
          <w:lang w:val="en-ID"/>
        </w:rPr>
        <w:t xml:space="preserve"> </w:t>
      </w:r>
      <w:proofErr w:type="spellStart"/>
      <w:r w:rsidRPr="0038742B">
        <w:rPr>
          <w:sz w:val="22"/>
          <w:szCs w:val="22"/>
          <w:lang w:val="en-ID"/>
        </w:rPr>
        <w:t>algoritma</w:t>
      </w:r>
      <w:proofErr w:type="spellEnd"/>
      <w:r w:rsidRPr="0038742B">
        <w:rPr>
          <w:sz w:val="22"/>
          <w:szCs w:val="22"/>
          <w:lang w:val="en-ID"/>
        </w:rPr>
        <w:t xml:space="preserve"> </w:t>
      </w:r>
      <w:proofErr w:type="spellStart"/>
      <w:r w:rsidRPr="0038742B">
        <w:rPr>
          <w:sz w:val="22"/>
          <w:szCs w:val="22"/>
          <w:lang w:val="en-ID"/>
        </w:rPr>
        <w:t>genetika</w:t>
      </w:r>
      <w:proofErr w:type="spellEnd"/>
      <w:r w:rsidRPr="0038742B">
        <w:rPr>
          <w:sz w:val="22"/>
          <w:szCs w:val="22"/>
          <w:lang w:val="en-ID"/>
        </w:rPr>
        <w:t xml:space="preserve"> </w:t>
      </w:r>
      <w:r>
        <w:rPr>
          <w:sz w:val="22"/>
          <w:szCs w:val="22"/>
          <w:lang w:val="en-ID"/>
        </w:rPr>
        <w:t xml:space="preserve">Lamarckian </w:t>
      </w:r>
      <w:proofErr w:type="spellStart"/>
      <w:r w:rsidRPr="0038742B">
        <w:rPr>
          <w:sz w:val="22"/>
          <w:szCs w:val="22"/>
          <w:lang w:val="en-ID"/>
        </w:rPr>
        <w:t>untuk</w:t>
      </w:r>
      <w:proofErr w:type="spellEnd"/>
      <w:r w:rsidRPr="0038742B">
        <w:rPr>
          <w:sz w:val="22"/>
          <w:szCs w:val="22"/>
          <w:lang w:val="en-ID"/>
        </w:rPr>
        <w:t xml:space="preserve"> </w:t>
      </w:r>
      <w:proofErr w:type="spellStart"/>
      <w:r w:rsidRPr="0038742B">
        <w:rPr>
          <w:sz w:val="22"/>
          <w:szCs w:val="22"/>
          <w:lang w:val="en-ID"/>
        </w:rPr>
        <w:t>mencari</w:t>
      </w:r>
      <w:proofErr w:type="spellEnd"/>
      <w:r w:rsidRPr="0038742B">
        <w:rPr>
          <w:sz w:val="22"/>
          <w:szCs w:val="22"/>
          <w:lang w:val="en-ID"/>
        </w:rPr>
        <w:t xml:space="preserve"> </w:t>
      </w:r>
      <w:proofErr w:type="spellStart"/>
      <w:r w:rsidRPr="0038742B">
        <w:rPr>
          <w:sz w:val="22"/>
          <w:szCs w:val="22"/>
          <w:lang w:val="en-ID"/>
        </w:rPr>
        <w:t>konformasi</w:t>
      </w:r>
      <w:proofErr w:type="spellEnd"/>
      <w:r w:rsidRPr="0038742B">
        <w:rPr>
          <w:sz w:val="22"/>
          <w:szCs w:val="22"/>
          <w:lang w:val="en-ID"/>
        </w:rPr>
        <w:t xml:space="preserve"> </w:t>
      </w:r>
      <w:proofErr w:type="spellStart"/>
      <w:r w:rsidRPr="0038742B">
        <w:rPr>
          <w:sz w:val="22"/>
          <w:szCs w:val="22"/>
          <w:lang w:val="en-ID"/>
        </w:rPr>
        <w:t>ikatan</w:t>
      </w:r>
      <w:proofErr w:type="spellEnd"/>
      <w:r w:rsidRPr="0038742B">
        <w:rPr>
          <w:sz w:val="22"/>
          <w:szCs w:val="22"/>
          <w:lang w:val="en-ID"/>
        </w:rPr>
        <w:t xml:space="preserve"> yang paling </w:t>
      </w:r>
      <w:proofErr w:type="spellStart"/>
      <w:r w:rsidRPr="0038742B">
        <w:rPr>
          <w:sz w:val="22"/>
          <w:szCs w:val="22"/>
          <w:lang w:val="en-ID"/>
        </w:rPr>
        <w:t>stabil</w:t>
      </w:r>
      <w:proofErr w:type="spellEnd"/>
      <w:r w:rsidR="007517C7">
        <w:rPr>
          <w:sz w:val="22"/>
          <w:szCs w:val="22"/>
        </w:rPr>
        <w:t xml:space="preserve"> </w:t>
      </w:r>
      <w:proofErr w:type="spellStart"/>
      <w:r w:rsidR="007517C7">
        <w:rPr>
          <w:sz w:val="22"/>
          <w:szCs w:val="22"/>
        </w:rPr>
        <w:t>menggunakan</w:t>
      </w:r>
      <w:proofErr w:type="spellEnd"/>
      <w:r w:rsidR="007517C7">
        <w:rPr>
          <w:sz w:val="22"/>
          <w:szCs w:val="22"/>
        </w:rPr>
        <w:t xml:space="preserve"> </w:t>
      </w:r>
      <w:proofErr w:type="spellStart"/>
      <w:r w:rsidR="007517C7">
        <w:rPr>
          <w:sz w:val="22"/>
          <w:szCs w:val="22"/>
        </w:rPr>
        <w:t>aplikasi</w:t>
      </w:r>
      <w:proofErr w:type="spellEnd"/>
      <w:r w:rsidR="007517C7">
        <w:rPr>
          <w:sz w:val="22"/>
          <w:szCs w:val="22"/>
        </w:rPr>
        <w:t xml:space="preserve"> Autodock4</w:t>
      </w:r>
      <w:r w:rsidR="00681E51">
        <w:rPr>
          <w:sz w:val="22"/>
          <w:szCs w:val="22"/>
        </w:rPr>
        <w:t xml:space="preserve"> </w:t>
      </w:r>
      <w:r w:rsidR="00681E51">
        <w:rPr>
          <w:sz w:val="22"/>
          <w:szCs w:val="22"/>
        </w:rPr>
        <w:fldChar w:fldCharType="begin" w:fldLock="1"/>
      </w:r>
      <w:r w:rsidR="00C70BE8">
        <w:rPr>
          <w:sz w:val="22"/>
          <w:szCs w:val="22"/>
        </w:rPr>
        <w:instrText>ADDIN CSL_CITATION {"citationItems":[{"id":"ITEM-1","itemData":{"DOI":"10.20944/preprints202003.0226.v1","abstract":"COVID-19, a new strain of coronavirus (CoV), was identified in Wuhan, China, in 2019. No specific therapies are available and investigations regarding COVID-19 treatment are lacking. Liu et al. (2020) successfully crystallised the COVID-19 main protease (M pro), which is a potential drug target. The present study aimed to assess bioactive compounds found in medicinal plants as potential COVID-19 M pro inhibitors, using a molecular docking study. Molecular docking was performed using Autodock 4.2, with the Lamarckian Genetic Algorithm, to analyse the probability of docking. COVID-19 M pro was docked with several compounds, and docking was analysed by Autodock 4.2, Pymol version 1.7.4.5 Edu, and Biovia Discovery Studio 4.5. Nelfinavir and lopinavir were used as standards for comparison. The binding energies obtained from the docking of 6LU7 with native ligand, nelfinavir, lopinavir, kaempferol, quercetin, luteolin-7-glucoside, demethoxycurcumin, naringenin, apigenin-7-glucoside, oleuropein, curcumin, catechin, epicatechin-gallate, zingerol, gingerol, and allicin were-8.37,-10.72,-9.41,-8.58,-8.47,-8.17,-7.99,-7.89,-7.83,-7.31,-7.05,-7.24,-6.67,-5.40,-5.38, and-4.03 kcal/mol, respectively. Therefore, nelfinavir and lopinavir may represent potential treatment options, and kaempferol, quercetin, luteolin-7-glucoside, demethoxycurcumin, naringenin, apigenin-7-glucoside, oleuropein, curcumin, catechin, and epicatechin-gallate appeared to have the best potential to act as COVID-19 M pro inhibitors. However, further research is necessary to investigate their potential medicinal use.","author":[{"dropping-particle":"","family":"Khaerunnisa","given":"Siti","non-dropping-particle":"","parse-names":false,"suffix":""},{"dropping-particle":"","family":"Kurniawan","given":"Hendra","non-dropping-particle":"","parse-names":false,"suffix":""},{"dropping-particle":"","family":"Awaluddin","given":"Rizki","non-dropping-particle":"","parse-names":false,"suffix":""},{"dropping-particle":"","family":"Suhartati","given":"Suhartati","non-dropping-particle":"","parse-names":false,"suffix":""}],"container-title":"Preprints","id":"ITEM-1","issue":"March","issued":{"date-parts":[["2020"]]},"page":"1-14","title":"Potential Inhibitor of COVID-19 Main Protease ( M pro ) from Several Medicinal Plant Compounds by Molecular Docking Study","type":"article-journal"},"uris":["http://www.mendeley.com/documents/?uuid=e1c35872-e190-45eb-88bb-6d2570fb0c64"]}],"mendeley":{"formattedCitation":"(Khaerunnisa et al., 2020)","plainTextFormattedCitation":"(Khaerunnisa et al., 2020)","previouslyFormattedCitation":"(Khaerunnisa et al., 2020)"},"properties":{"noteIndex":0},"schema":"https://github.com/citation-style-language/schema/raw/master/csl-citation.json"}</w:instrText>
      </w:r>
      <w:r w:rsidR="00681E51">
        <w:rPr>
          <w:sz w:val="22"/>
          <w:szCs w:val="22"/>
        </w:rPr>
        <w:fldChar w:fldCharType="separate"/>
      </w:r>
      <w:r w:rsidR="00681E51" w:rsidRPr="00681E51">
        <w:rPr>
          <w:noProof/>
          <w:sz w:val="22"/>
          <w:szCs w:val="22"/>
        </w:rPr>
        <w:t>(Khaerunnisa et al., 2020)</w:t>
      </w:r>
      <w:r w:rsidR="00681E51">
        <w:rPr>
          <w:sz w:val="22"/>
          <w:szCs w:val="22"/>
        </w:rPr>
        <w:fldChar w:fldCharType="end"/>
      </w:r>
      <w:r w:rsidR="007517C7">
        <w:rPr>
          <w:sz w:val="22"/>
          <w:szCs w:val="22"/>
        </w:rPr>
        <w:t xml:space="preserve">. </w:t>
      </w:r>
      <w:r w:rsidR="00CF6366" w:rsidRPr="00CF6366">
        <w:rPr>
          <w:sz w:val="22"/>
          <w:szCs w:val="22"/>
        </w:rPr>
        <w:t xml:space="preserve">Hasil docking </w:t>
      </w:r>
      <w:proofErr w:type="spellStart"/>
      <w:r w:rsidR="00CF6366" w:rsidRPr="00CF6366">
        <w:rPr>
          <w:sz w:val="22"/>
          <w:szCs w:val="22"/>
        </w:rPr>
        <w:t>dianalisis</w:t>
      </w:r>
      <w:proofErr w:type="spellEnd"/>
      <w:r w:rsidR="00CF6366" w:rsidRPr="00CF6366">
        <w:rPr>
          <w:sz w:val="22"/>
          <w:szCs w:val="22"/>
        </w:rPr>
        <w:t xml:space="preserve"> </w:t>
      </w:r>
      <w:proofErr w:type="spellStart"/>
      <w:r w:rsidR="00CF6366" w:rsidRPr="00CF6366">
        <w:rPr>
          <w:sz w:val="22"/>
          <w:szCs w:val="22"/>
        </w:rPr>
        <w:t>berdasarkan</w:t>
      </w:r>
      <w:proofErr w:type="spellEnd"/>
      <w:r w:rsidR="00CF6366" w:rsidRPr="00CF6366">
        <w:rPr>
          <w:sz w:val="22"/>
          <w:szCs w:val="22"/>
        </w:rPr>
        <w:t xml:space="preserve"> </w:t>
      </w:r>
      <w:proofErr w:type="spellStart"/>
      <w:r w:rsidR="00CF6366" w:rsidRPr="00CF6366">
        <w:rPr>
          <w:sz w:val="22"/>
          <w:szCs w:val="22"/>
        </w:rPr>
        <w:t>nilai</w:t>
      </w:r>
      <w:proofErr w:type="spellEnd"/>
      <w:r w:rsidR="00CF6366" w:rsidRPr="00CF6366">
        <w:rPr>
          <w:sz w:val="22"/>
          <w:szCs w:val="22"/>
        </w:rPr>
        <w:t xml:space="preserve"> </w:t>
      </w:r>
      <w:proofErr w:type="spellStart"/>
      <w:r w:rsidR="00CF6366" w:rsidRPr="00CF6366">
        <w:rPr>
          <w:sz w:val="22"/>
          <w:szCs w:val="22"/>
        </w:rPr>
        <w:t>energi</w:t>
      </w:r>
      <w:proofErr w:type="spellEnd"/>
      <w:r w:rsidR="00CF6366" w:rsidRPr="00CF6366">
        <w:rPr>
          <w:sz w:val="22"/>
          <w:szCs w:val="22"/>
        </w:rPr>
        <w:t xml:space="preserve"> </w:t>
      </w:r>
      <w:proofErr w:type="spellStart"/>
      <w:r w:rsidR="00CF6366" w:rsidRPr="00CF6366">
        <w:rPr>
          <w:sz w:val="22"/>
          <w:szCs w:val="22"/>
        </w:rPr>
        <w:t>pengikatan</w:t>
      </w:r>
      <w:proofErr w:type="spellEnd"/>
      <w:r w:rsidR="00CF6366" w:rsidRPr="00CF6366">
        <w:rPr>
          <w:sz w:val="22"/>
          <w:szCs w:val="22"/>
        </w:rPr>
        <w:t xml:space="preserve"> </w:t>
      </w:r>
      <w:proofErr w:type="spellStart"/>
      <w:r w:rsidR="00CF6366" w:rsidRPr="00CF6366">
        <w:rPr>
          <w:sz w:val="22"/>
          <w:szCs w:val="22"/>
        </w:rPr>
        <w:t>untuk</w:t>
      </w:r>
      <w:proofErr w:type="spellEnd"/>
      <w:r w:rsidR="00CF6366" w:rsidRPr="00CF6366">
        <w:rPr>
          <w:sz w:val="22"/>
          <w:szCs w:val="22"/>
        </w:rPr>
        <w:t xml:space="preserve"> </w:t>
      </w:r>
      <w:proofErr w:type="spellStart"/>
      <w:r w:rsidR="00CF6366" w:rsidRPr="00CF6366">
        <w:rPr>
          <w:sz w:val="22"/>
          <w:szCs w:val="22"/>
        </w:rPr>
        <w:t>menilai</w:t>
      </w:r>
      <w:proofErr w:type="spellEnd"/>
      <w:r w:rsidR="00CF6366" w:rsidRPr="00CF6366">
        <w:rPr>
          <w:sz w:val="22"/>
          <w:szCs w:val="22"/>
        </w:rPr>
        <w:t xml:space="preserve"> </w:t>
      </w:r>
      <w:proofErr w:type="spellStart"/>
      <w:r w:rsidR="00CF6366" w:rsidRPr="00CF6366">
        <w:rPr>
          <w:sz w:val="22"/>
          <w:szCs w:val="22"/>
        </w:rPr>
        <w:t>kekuatan</w:t>
      </w:r>
      <w:proofErr w:type="spellEnd"/>
      <w:r w:rsidR="00CF6366" w:rsidRPr="00CF6366">
        <w:rPr>
          <w:sz w:val="22"/>
          <w:szCs w:val="22"/>
        </w:rPr>
        <w:t xml:space="preserve"> </w:t>
      </w:r>
      <w:proofErr w:type="spellStart"/>
      <w:r w:rsidR="00CF6366" w:rsidRPr="00CF6366">
        <w:rPr>
          <w:sz w:val="22"/>
          <w:szCs w:val="22"/>
        </w:rPr>
        <w:t>interaksi</w:t>
      </w:r>
      <w:proofErr w:type="spellEnd"/>
      <w:r w:rsidR="00CF6366" w:rsidRPr="00CF6366">
        <w:rPr>
          <w:sz w:val="22"/>
          <w:szCs w:val="22"/>
        </w:rPr>
        <w:t xml:space="preserve"> </w:t>
      </w:r>
      <w:proofErr w:type="spellStart"/>
      <w:r w:rsidR="00CF6366" w:rsidRPr="00CF6366">
        <w:rPr>
          <w:sz w:val="22"/>
          <w:szCs w:val="22"/>
        </w:rPr>
        <w:t>antara</w:t>
      </w:r>
      <w:proofErr w:type="spellEnd"/>
      <w:r w:rsidR="00CF6366" w:rsidRPr="00CF6366">
        <w:rPr>
          <w:sz w:val="22"/>
          <w:szCs w:val="22"/>
        </w:rPr>
        <w:t xml:space="preserve"> </w:t>
      </w:r>
      <w:proofErr w:type="spellStart"/>
      <w:r w:rsidR="00CF6366" w:rsidRPr="00CF6366">
        <w:rPr>
          <w:sz w:val="22"/>
          <w:szCs w:val="22"/>
        </w:rPr>
        <w:t>ircinianin</w:t>
      </w:r>
      <w:proofErr w:type="spellEnd"/>
      <w:r w:rsidR="00CF6366" w:rsidRPr="00CF6366">
        <w:rPr>
          <w:sz w:val="22"/>
          <w:szCs w:val="22"/>
        </w:rPr>
        <w:t xml:space="preserve"> dan </w:t>
      </w:r>
      <w:proofErr w:type="spellStart"/>
      <w:r w:rsidR="00CF6366" w:rsidRPr="00CF6366">
        <w:rPr>
          <w:sz w:val="22"/>
          <w:szCs w:val="22"/>
        </w:rPr>
        <w:t>reseptor</w:t>
      </w:r>
      <w:proofErr w:type="spellEnd"/>
      <w:r w:rsidR="00CF6366" w:rsidRPr="00CF6366">
        <w:rPr>
          <w:sz w:val="22"/>
          <w:szCs w:val="22"/>
        </w:rPr>
        <w:t xml:space="preserve"> SGLT-2</w:t>
      </w:r>
      <w:r w:rsidR="00C80CB5">
        <w:rPr>
          <w:sz w:val="22"/>
          <w:szCs w:val="22"/>
        </w:rPr>
        <w:t xml:space="preserve"> yang </w:t>
      </w:r>
      <w:proofErr w:type="spellStart"/>
      <w:r w:rsidR="00C80CB5">
        <w:rPr>
          <w:sz w:val="22"/>
          <w:szCs w:val="22"/>
        </w:rPr>
        <w:t>dibandingkan</w:t>
      </w:r>
      <w:proofErr w:type="spellEnd"/>
      <w:r w:rsidR="00C80CB5">
        <w:rPr>
          <w:sz w:val="22"/>
          <w:szCs w:val="22"/>
        </w:rPr>
        <w:t xml:space="preserve"> </w:t>
      </w:r>
      <w:proofErr w:type="spellStart"/>
      <w:r w:rsidR="00C80CB5">
        <w:rPr>
          <w:sz w:val="22"/>
          <w:szCs w:val="22"/>
        </w:rPr>
        <w:t>dengan</w:t>
      </w:r>
      <w:proofErr w:type="spellEnd"/>
      <w:r w:rsidR="00C80CB5">
        <w:rPr>
          <w:sz w:val="22"/>
          <w:szCs w:val="22"/>
        </w:rPr>
        <w:t xml:space="preserve"> native ligand</w:t>
      </w:r>
      <w:r w:rsidR="00CF6366" w:rsidRPr="00CF6366">
        <w:rPr>
          <w:sz w:val="22"/>
          <w:szCs w:val="22"/>
        </w:rPr>
        <w:t xml:space="preserve">. Energi </w:t>
      </w:r>
      <w:proofErr w:type="spellStart"/>
      <w:r w:rsidR="00CF6366" w:rsidRPr="00CF6366">
        <w:rPr>
          <w:sz w:val="22"/>
          <w:szCs w:val="22"/>
        </w:rPr>
        <w:t>pengikatan</w:t>
      </w:r>
      <w:proofErr w:type="spellEnd"/>
      <w:r w:rsidR="00CF6366" w:rsidRPr="00CF6366">
        <w:rPr>
          <w:sz w:val="22"/>
          <w:szCs w:val="22"/>
        </w:rPr>
        <w:t xml:space="preserve"> yang </w:t>
      </w:r>
      <w:proofErr w:type="spellStart"/>
      <w:r w:rsidR="00CF6366" w:rsidRPr="00CF6366">
        <w:rPr>
          <w:sz w:val="22"/>
          <w:szCs w:val="22"/>
        </w:rPr>
        <w:t>lebih</w:t>
      </w:r>
      <w:proofErr w:type="spellEnd"/>
      <w:r w:rsidR="00CF6366" w:rsidRPr="00CF6366">
        <w:rPr>
          <w:sz w:val="22"/>
          <w:szCs w:val="22"/>
        </w:rPr>
        <w:t xml:space="preserve"> </w:t>
      </w:r>
      <w:proofErr w:type="spellStart"/>
      <w:r w:rsidR="00CF6366" w:rsidRPr="00CF6366">
        <w:rPr>
          <w:sz w:val="22"/>
          <w:szCs w:val="22"/>
        </w:rPr>
        <w:t>rendah</w:t>
      </w:r>
      <w:proofErr w:type="spellEnd"/>
      <w:r w:rsidR="00CF6366" w:rsidRPr="00CF6366">
        <w:rPr>
          <w:sz w:val="22"/>
          <w:szCs w:val="22"/>
        </w:rPr>
        <w:t xml:space="preserve"> </w:t>
      </w:r>
      <w:proofErr w:type="spellStart"/>
      <w:r w:rsidR="00CF6366" w:rsidRPr="00CF6366">
        <w:rPr>
          <w:sz w:val="22"/>
          <w:szCs w:val="22"/>
        </w:rPr>
        <w:t>menunjukkan</w:t>
      </w:r>
      <w:proofErr w:type="spellEnd"/>
      <w:r w:rsidR="00CF6366" w:rsidRPr="00CF6366">
        <w:rPr>
          <w:sz w:val="22"/>
          <w:szCs w:val="22"/>
        </w:rPr>
        <w:t xml:space="preserve"> </w:t>
      </w:r>
      <w:proofErr w:type="spellStart"/>
      <w:r w:rsidR="00CF6366" w:rsidRPr="00CF6366">
        <w:rPr>
          <w:sz w:val="22"/>
          <w:szCs w:val="22"/>
        </w:rPr>
        <w:t>interaksi</w:t>
      </w:r>
      <w:proofErr w:type="spellEnd"/>
      <w:r w:rsidR="00CF6366" w:rsidRPr="00CF6366">
        <w:rPr>
          <w:sz w:val="22"/>
          <w:szCs w:val="22"/>
        </w:rPr>
        <w:t xml:space="preserve"> yang </w:t>
      </w:r>
      <w:proofErr w:type="spellStart"/>
      <w:r w:rsidR="00CF6366" w:rsidRPr="00CF6366">
        <w:rPr>
          <w:sz w:val="22"/>
          <w:szCs w:val="22"/>
        </w:rPr>
        <w:t>lebih</w:t>
      </w:r>
      <w:proofErr w:type="spellEnd"/>
      <w:r w:rsidR="00CF6366" w:rsidRPr="00CF6366">
        <w:rPr>
          <w:sz w:val="22"/>
          <w:szCs w:val="22"/>
        </w:rPr>
        <w:t xml:space="preserve"> </w:t>
      </w:r>
      <w:proofErr w:type="spellStart"/>
      <w:r w:rsidR="00CF6366" w:rsidRPr="00CF6366">
        <w:rPr>
          <w:sz w:val="22"/>
          <w:szCs w:val="22"/>
        </w:rPr>
        <w:t>kuat</w:t>
      </w:r>
      <w:proofErr w:type="spellEnd"/>
      <w:r w:rsidR="00CF6366" w:rsidRPr="00CF6366">
        <w:rPr>
          <w:sz w:val="22"/>
          <w:szCs w:val="22"/>
        </w:rPr>
        <w:t xml:space="preserve"> </w:t>
      </w:r>
      <w:proofErr w:type="spellStart"/>
      <w:r w:rsidR="00CF6366" w:rsidRPr="00CF6366">
        <w:rPr>
          <w:sz w:val="22"/>
          <w:szCs w:val="22"/>
        </w:rPr>
        <w:t>antara</w:t>
      </w:r>
      <w:proofErr w:type="spellEnd"/>
      <w:r w:rsidR="00CF6366" w:rsidRPr="00CF6366">
        <w:rPr>
          <w:sz w:val="22"/>
          <w:szCs w:val="22"/>
        </w:rPr>
        <w:t xml:space="preserve"> ligand dan </w:t>
      </w:r>
      <w:proofErr w:type="spellStart"/>
      <w:r w:rsidR="00CF6366" w:rsidRPr="00CF6366">
        <w:rPr>
          <w:sz w:val="22"/>
          <w:szCs w:val="22"/>
        </w:rPr>
        <w:t>reseptor</w:t>
      </w:r>
      <w:proofErr w:type="spellEnd"/>
      <w:r w:rsidR="00CF6366" w:rsidRPr="00CF6366">
        <w:rPr>
          <w:sz w:val="22"/>
          <w:szCs w:val="22"/>
        </w:rPr>
        <w:t>.</w:t>
      </w:r>
      <w:r w:rsidR="00C80CB5">
        <w:rPr>
          <w:sz w:val="22"/>
          <w:szCs w:val="22"/>
        </w:rPr>
        <w:t xml:space="preserve"> </w:t>
      </w:r>
      <w:r w:rsidR="00CF6366" w:rsidRPr="00CF6366">
        <w:rPr>
          <w:sz w:val="22"/>
          <w:szCs w:val="22"/>
          <w:lang w:val="en-ID"/>
        </w:rPr>
        <w:t xml:space="preserve">Hasil </w:t>
      </w:r>
      <w:proofErr w:type="spellStart"/>
      <w:r w:rsidR="00CF6366" w:rsidRPr="00CF6366">
        <w:rPr>
          <w:sz w:val="22"/>
          <w:szCs w:val="22"/>
          <w:lang w:val="en-ID"/>
        </w:rPr>
        <w:t>interaksi</w:t>
      </w:r>
      <w:proofErr w:type="spellEnd"/>
      <w:r w:rsidR="00CF6366" w:rsidRPr="00CF6366">
        <w:rPr>
          <w:sz w:val="22"/>
          <w:szCs w:val="22"/>
          <w:lang w:val="en-ID"/>
        </w:rPr>
        <w:t xml:space="preserve"> </w:t>
      </w:r>
      <w:proofErr w:type="spellStart"/>
      <w:r w:rsidR="00CF6366" w:rsidRPr="00CF6366">
        <w:rPr>
          <w:sz w:val="22"/>
          <w:szCs w:val="22"/>
          <w:lang w:val="en-ID"/>
        </w:rPr>
        <w:t>antara</w:t>
      </w:r>
      <w:proofErr w:type="spellEnd"/>
      <w:r w:rsidR="00CF6366" w:rsidRPr="00CF6366">
        <w:rPr>
          <w:sz w:val="22"/>
          <w:szCs w:val="22"/>
          <w:lang w:val="en-ID"/>
        </w:rPr>
        <w:t xml:space="preserve"> </w:t>
      </w:r>
      <w:proofErr w:type="spellStart"/>
      <w:r w:rsidR="00CF6366" w:rsidRPr="00CF6366">
        <w:rPr>
          <w:sz w:val="22"/>
          <w:szCs w:val="22"/>
          <w:lang w:val="en-ID"/>
        </w:rPr>
        <w:t>ircinianin</w:t>
      </w:r>
      <w:proofErr w:type="spellEnd"/>
      <w:r w:rsidR="00CF6366" w:rsidRPr="00CF6366">
        <w:rPr>
          <w:sz w:val="22"/>
          <w:szCs w:val="22"/>
          <w:lang w:val="en-ID"/>
        </w:rPr>
        <w:t xml:space="preserve"> dan </w:t>
      </w:r>
      <w:r w:rsidR="00576314">
        <w:rPr>
          <w:sz w:val="22"/>
          <w:szCs w:val="22"/>
          <w:lang w:val="en-ID"/>
        </w:rPr>
        <w:t xml:space="preserve">native ligand pada </w:t>
      </w:r>
      <w:r w:rsidR="00CF6366" w:rsidRPr="00CF6366">
        <w:rPr>
          <w:sz w:val="22"/>
          <w:szCs w:val="22"/>
          <w:lang w:val="en-ID"/>
        </w:rPr>
        <w:t xml:space="preserve">situs </w:t>
      </w:r>
      <w:proofErr w:type="spellStart"/>
      <w:r w:rsidR="00CF6366" w:rsidRPr="00CF6366">
        <w:rPr>
          <w:sz w:val="22"/>
          <w:szCs w:val="22"/>
          <w:lang w:val="en-ID"/>
        </w:rPr>
        <w:t>aktif</w:t>
      </w:r>
      <w:proofErr w:type="spellEnd"/>
      <w:r w:rsidR="00CF6366" w:rsidRPr="00CF6366">
        <w:rPr>
          <w:sz w:val="22"/>
          <w:szCs w:val="22"/>
          <w:lang w:val="en-ID"/>
        </w:rPr>
        <w:t xml:space="preserve"> SGLT-2 </w:t>
      </w:r>
      <w:proofErr w:type="spellStart"/>
      <w:r w:rsidR="00CF6366" w:rsidRPr="00CF6366">
        <w:rPr>
          <w:sz w:val="22"/>
          <w:szCs w:val="22"/>
          <w:lang w:val="en-ID"/>
        </w:rPr>
        <w:t>divisualisasikan</w:t>
      </w:r>
      <w:proofErr w:type="spellEnd"/>
      <w:r w:rsidR="00CF6366" w:rsidRPr="00CF6366">
        <w:rPr>
          <w:sz w:val="22"/>
          <w:szCs w:val="22"/>
          <w:lang w:val="en-ID"/>
        </w:rPr>
        <w:t xml:space="preserve"> </w:t>
      </w:r>
      <w:proofErr w:type="spellStart"/>
      <w:r w:rsidR="00CF6366" w:rsidRPr="00CF6366">
        <w:rPr>
          <w:sz w:val="22"/>
          <w:szCs w:val="22"/>
          <w:lang w:val="en-ID"/>
        </w:rPr>
        <w:t>menggunakan</w:t>
      </w:r>
      <w:proofErr w:type="spellEnd"/>
      <w:r w:rsidR="00CF6366" w:rsidRPr="00CF6366">
        <w:rPr>
          <w:sz w:val="22"/>
          <w:szCs w:val="22"/>
          <w:lang w:val="en-ID"/>
        </w:rPr>
        <w:t xml:space="preserve"> </w:t>
      </w:r>
      <w:proofErr w:type="spellStart"/>
      <w:r w:rsidR="00CF6366" w:rsidRPr="00CF6366">
        <w:rPr>
          <w:sz w:val="22"/>
          <w:szCs w:val="22"/>
          <w:lang w:val="en-ID"/>
        </w:rPr>
        <w:t>perangkat</w:t>
      </w:r>
      <w:proofErr w:type="spellEnd"/>
      <w:r w:rsidR="00CF6366" w:rsidRPr="00CF6366">
        <w:rPr>
          <w:sz w:val="22"/>
          <w:szCs w:val="22"/>
          <w:lang w:val="en-ID"/>
        </w:rPr>
        <w:t xml:space="preserve"> </w:t>
      </w:r>
      <w:proofErr w:type="spellStart"/>
      <w:r w:rsidR="00CF6366" w:rsidRPr="00CF6366">
        <w:rPr>
          <w:sz w:val="22"/>
          <w:szCs w:val="22"/>
          <w:lang w:val="en-ID"/>
        </w:rPr>
        <w:t>lunak</w:t>
      </w:r>
      <w:proofErr w:type="spellEnd"/>
      <w:r w:rsidR="00CF6366" w:rsidRPr="00CF6366">
        <w:rPr>
          <w:sz w:val="22"/>
          <w:szCs w:val="22"/>
          <w:lang w:val="en-ID"/>
        </w:rPr>
        <w:t xml:space="preserve"> Discovery Studio </w:t>
      </w:r>
      <w:proofErr w:type="spellStart"/>
      <w:r w:rsidR="00CF6366" w:rsidRPr="00CF6366">
        <w:rPr>
          <w:sz w:val="22"/>
          <w:szCs w:val="22"/>
          <w:lang w:val="en-ID"/>
        </w:rPr>
        <w:t>untuk</w:t>
      </w:r>
      <w:proofErr w:type="spellEnd"/>
      <w:r w:rsidR="00CF6366" w:rsidRPr="00CF6366">
        <w:rPr>
          <w:sz w:val="22"/>
          <w:szCs w:val="22"/>
          <w:lang w:val="en-ID"/>
        </w:rPr>
        <w:t xml:space="preserve"> </w:t>
      </w:r>
      <w:proofErr w:type="spellStart"/>
      <w:r w:rsidR="00CF6366" w:rsidRPr="00CF6366">
        <w:rPr>
          <w:sz w:val="22"/>
          <w:szCs w:val="22"/>
          <w:lang w:val="en-ID"/>
        </w:rPr>
        <w:t>melihat</w:t>
      </w:r>
      <w:proofErr w:type="spellEnd"/>
      <w:r w:rsidR="00CF6366" w:rsidRPr="00CF6366">
        <w:rPr>
          <w:sz w:val="22"/>
          <w:szCs w:val="22"/>
          <w:lang w:val="en-ID"/>
        </w:rPr>
        <w:t xml:space="preserve"> </w:t>
      </w:r>
      <w:proofErr w:type="spellStart"/>
      <w:r w:rsidR="00CF6366" w:rsidRPr="00CF6366">
        <w:rPr>
          <w:sz w:val="22"/>
          <w:szCs w:val="22"/>
          <w:lang w:val="en-ID"/>
        </w:rPr>
        <w:t>interaksi</w:t>
      </w:r>
      <w:proofErr w:type="spellEnd"/>
      <w:r w:rsidR="00CF6366" w:rsidRPr="00CF6366">
        <w:rPr>
          <w:sz w:val="22"/>
          <w:szCs w:val="22"/>
          <w:lang w:val="en-ID"/>
        </w:rPr>
        <w:t xml:space="preserve"> </w:t>
      </w:r>
      <w:r w:rsidR="00C80CB5">
        <w:rPr>
          <w:sz w:val="22"/>
          <w:szCs w:val="22"/>
          <w:lang w:val="en-ID"/>
        </w:rPr>
        <w:t xml:space="preserve">yang </w:t>
      </w:r>
      <w:proofErr w:type="spellStart"/>
      <w:r w:rsidR="00C80CB5">
        <w:rPr>
          <w:sz w:val="22"/>
          <w:szCs w:val="22"/>
          <w:lang w:val="en-ID"/>
        </w:rPr>
        <w:t>terbentuk</w:t>
      </w:r>
      <w:proofErr w:type="spellEnd"/>
      <w:r w:rsidR="00CF6366" w:rsidRPr="00CF6366">
        <w:rPr>
          <w:sz w:val="22"/>
          <w:szCs w:val="22"/>
          <w:lang w:val="en-ID"/>
        </w:rPr>
        <w:t xml:space="preserve"> di </w:t>
      </w:r>
      <w:proofErr w:type="spellStart"/>
      <w:r w:rsidR="00CF6366" w:rsidRPr="00CF6366">
        <w:rPr>
          <w:sz w:val="22"/>
          <w:szCs w:val="22"/>
          <w:lang w:val="en-ID"/>
        </w:rPr>
        <w:t>dalam</w:t>
      </w:r>
      <w:proofErr w:type="spellEnd"/>
      <w:r w:rsidR="00CF6366" w:rsidRPr="00CF6366">
        <w:rPr>
          <w:sz w:val="22"/>
          <w:szCs w:val="22"/>
          <w:lang w:val="en-ID"/>
        </w:rPr>
        <w:t xml:space="preserve"> situs </w:t>
      </w:r>
      <w:proofErr w:type="spellStart"/>
      <w:r w:rsidR="00CF6366" w:rsidRPr="00CF6366">
        <w:rPr>
          <w:sz w:val="22"/>
          <w:szCs w:val="22"/>
          <w:lang w:val="en-ID"/>
        </w:rPr>
        <w:t>pengikatan</w:t>
      </w:r>
      <w:proofErr w:type="spellEnd"/>
      <w:r w:rsidR="00CF6366" w:rsidRPr="00CF6366">
        <w:rPr>
          <w:sz w:val="22"/>
          <w:szCs w:val="22"/>
          <w:lang w:val="en-ID"/>
        </w:rPr>
        <w:t>.</w:t>
      </w:r>
    </w:p>
    <w:p w14:paraId="39C902AC" w14:textId="77777777" w:rsidR="00A12DB7" w:rsidRDefault="00000000">
      <w:pPr>
        <w:spacing w:before="240" w:line="288" w:lineRule="auto"/>
        <w:ind w:right="43"/>
        <w:jc w:val="both"/>
        <w:rPr>
          <w:b/>
          <w:sz w:val="22"/>
          <w:szCs w:val="22"/>
        </w:rPr>
      </w:pPr>
      <w:r>
        <w:rPr>
          <w:b/>
          <w:sz w:val="22"/>
          <w:szCs w:val="22"/>
        </w:rPr>
        <w:t>HASIL PENELITIAN</w:t>
      </w:r>
    </w:p>
    <w:p w14:paraId="76D7B7B3" w14:textId="77777777" w:rsidR="00E835C3" w:rsidRPr="00F30424" w:rsidRDefault="00E835C3" w:rsidP="00B502E1">
      <w:pPr>
        <w:spacing w:before="240" w:line="360" w:lineRule="auto"/>
        <w:ind w:left="720"/>
        <w:contextualSpacing/>
        <w:jc w:val="center"/>
        <w:rPr>
          <w:rFonts w:eastAsia="Calibri" w:cs="Times New Roman"/>
          <w:i/>
          <w:lang w:val="en-US"/>
        </w:rPr>
      </w:pPr>
      <w:r w:rsidRPr="00E835C3">
        <w:rPr>
          <w:rFonts w:eastAsia="Calibri" w:cs="Times New Roman"/>
          <w:b/>
          <w:bCs/>
          <w:lang w:val="en-US"/>
        </w:rPr>
        <w:t xml:space="preserve">Tabel 1. </w:t>
      </w:r>
      <w:r w:rsidRPr="00F30424">
        <w:rPr>
          <w:rFonts w:eastAsia="Calibri" w:cs="Times New Roman"/>
          <w:lang w:val="en-US"/>
        </w:rPr>
        <w:t xml:space="preserve">Energi </w:t>
      </w:r>
      <w:proofErr w:type="spellStart"/>
      <w:r w:rsidRPr="00F30424">
        <w:rPr>
          <w:rFonts w:eastAsia="Calibri" w:cs="Times New Roman"/>
          <w:lang w:val="en-US"/>
        </w:rPr>
        <w:t>Ikatan</w:t>
      </w:r>
      <w:proofErr w:type="spellEnd"/>
      <w:r w:rsidRPr="00F30424">
        <w:rPr>
          <w:rFonts w:eastAsia="Calibri" w:cs="Times New Roman"/>
          <w:lang w:val="en-US"/>
        </w:rPr>
        <w:t xml:space="preserve"> </w:t>
      </w:r>
      <w:r w:rsidR="00B502E1" w:rsidRPr="00F30424">
        <w:rPr>
          <w:rFonts w:eastAsia="Calibri" w:cs="Times New Roman"/>
          <w:lang w:val="en-US"/>
        </w:rPr>
        <w:t xml:space="preserve">native ligand (a) </w:t>
      </w:r>
      <w:proofErr w:type="spellStart"/>
      <w:r w:rsidR="00B502E1" w:rsidRPr="00F30424">
        <w:rPr>
          <w:rFonts w:eastAsia="Calibri" w:cs="Times New Roman"/>
          <w:lang w:val="en-US"/>
        </w:rPr>
        <w:t>dengan</w:t>
      </w:r>
      <w:proofErr w:type="spellEnd"/>
      <w:r w:rsidR="00B502E1" w:rsidRPr="00F30424">
        <w:rPr>
          <w:rFonts w:eastAsia="Calibri" w:cs="Times New Roman"/>
          <w:lang w:val="en-US"/>
        </w:rPr>
        <w:t xml:space="preserve"> </w:t>
      </w:r>
      <w:proofErr w:type="spellStart"/>
      <w:r w:rsidR="00B502E1" w:rsidRPr="00F30424">
        <w:rPr>
          <w:rFonts w:eastAsia="Calibri" w:cs="Times New Roman"/>
          <w:lang w:val="en-US"/>
        </w:rPr>
        <w:t>ircinianin</w:t>
      </w:r>
      <w:proofErr w:type="spellEnd"/>
      <w:r w:rsidR="00B502E1" w:rsidRPr="00F30424">
        <w:rPr>
          <w:rFonts w:eastAsia="Calibri" w:cs="Times New Roman"/>
          <w:lang w:val="en-US"/>
        </w:rPr>
        <w:t xml:space="preserve"> (b) pada protein </w:t>
      </w:r>
      <w:r w:rsidR="00B502E1" w:rsidRPr="00F30424">
        <w:rPr>
          <w:rFonts w:eastAsia="Calibri" w:cs="Times New Roman"/>
        </w:rPr>
        <w:t>SGLT-2</w:t>
      </w:r>
    </w:p>
    <w:tbl>
      <w:tblPr>
        <w:tblW w:w="5954" w:type="dxa"/>
        <w:jc w:val="center"/>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709"/>
        <w:gridCol w:w="2410"/>
        <w:gridCol w:w="2835"/>
      </w:tblGrid>
      <w:tr w:rsidR="00B83120" w:rsidRPr="005E2950" w14:paraId="5BD11AB1" w14:textId="77777777" w:rsidTr="00FF1B3F">
        <w:trPr>
          <w:trHeight w:val="71"/>
          <w:jc w:val="center"/>
        </w:trPr>
        <w:tc>
          <w:tcPr>
            <w:tcW w:w="709" w:type="dxa"/>
            <w:tcBorders>
              <w:bottom w:val="single" w:sz="2" w:space="0" w:color="auto"/>
            </w:tcBorders>
            <w:vAlign w:val="center"/>
          </w:tcPr>
          <w:p w14:paraId="4CAF5652" w14:textId="77777777" w:rsidR="00B83120" w:rsidRPr="005E2950" w:rsidRDefault="00B83120" w:rsidP="0055003B">
            <w:pPr>
              <w:widowControl w:val="0"/>
              <w:spacing w:line="360" w:lineRule="auto"/>
              <w:ind w:left="136" w:right="128"/>
              <w:jc w:val="center"/>
              <w:rPr>
                <w:rFonts w:eastAsia="Times New Roman" w:cs="Times New Roman"/>
                <w:bCs/>
                <w:sz w:val="24"/>
                <w:szCs w:val="24"/>
                <w:lang w:val="id"/>
              </w:rPr>
            </w:pPr>
            <w:r>
              <w:rPr>
                <w:rFonts w:eastAsia="Times New Roman" w:cs="Times New Roman"/>
                <w:bCs/>
                <w:sz w:val="24"/>
                <w:szCs w:val="24"/>
                <w:lang w:val="id"/>
              </w:rPr>
              <w:t>No</w:t>
            </w:r>
          </w:p>
        </w:tc>
        <w:tc>
          <w:tcPr>
            <w:tcW w:w="2410" w:type="dxa"/>
            <w:tcBorders>
              <w:bottom w:val="single" w:sz="2" w:space="0" w:color="auto"/>
            </w:tcBorders>
            <w:vAlign w:val="center"/>
          </w:tcPr>
          <w:p w14:paraId="7D8F7136" w14:textId="633F1C29" w:rsidR="00B83120" w:rsidRPr="005E2950" w:rsidRDefault="00B83120" w:rsidP="0055003B">
            <w:pPr>
              <w:widowControl w:val="0"/>
              <w:spacing w:line="360" w:lineRule="auto"/>
              <w:ind w:left="136" w:right="128"/>
              <w:rPr>
                <w:rFonts w:eastAsia="Times New Roman" w:cs="Times New Roman"/>
                <w:bCs/>
                <w:sz w:val="24"/>
                <w:szCs w:val="24"/>
                <w:lang w:val="id"/>
              </w:rPr>
            </w:pPr>
            <w:r w:rsidRPr="005E2950">
              <w:rPr>
                <w:rFonts w:eastAsia="Times New Roman" w:cs="Times New Roman"/>
                <w:bCs/>
                <w:sz w:val="24"/>
                <w:szCs w:val="24"/>
                <w:lang w:val="id"/>
              </w:rPr>
              <w:t>Senyawa</w:t>
            </w:r>
            <w:r w:rsidR="0055003B">
              <w:rPr>
                <w:rFonts w:eastAsia="Times New Roman" w:cs="Times New Roman"/>
                <w:bCs/>
                <w:sz w:val="24"/>
                <w:szCs w:val="24"/>
                <w:lang w:val="id"/>
              </w:rPr>
              <w:t>s</w:t>
            </w:r>
          </w:p>
        </w:tc>
        <w:tc>
          <w:tcPr>
            <w:tcW w:w="2835" w:type="dxa"/>
            <w:tcBorders>
              <w:bottom w:val="single" w:sz="2" w:space="0" w:color="auto"/>
            </w:tcBorders>
            <w:vAlign w:val="center"/>
          </w:tcPr>
          <w:p w14:paraId="02F71444" w14:textId="77777777" w:rsidR="00B83120" w:rsidRPr="005E2950" w:rsidRDefault="00B83120" w:rsidP="0055003B">
            <w:pPr>
              <w:widowControl w:val="0"/>
              <w:spacing w:line="360" w:lineRule="auto"/>
              <w:jc w:val="center"/>
              <w:rPr>
                <w:rFonts w:eastAsia="Times New Roman" w:cs="Times New Roman"/>
                <w:bCs/>
                <w:sz w:val="24"/>
                <w:szCs w:val="24"/>
                <w:lang w:val="id"/>
              </w:rPr>
            </w:pPr>
            <w:r>
              <w:rPr>
                <w:rFonts w:eastAsia="Times New Roman" w:cs="Times New Roman"/>
                <w:bCs/>
                <w:sz w:val="24"/>
                <w:szCs w:val="24"/>
                <w:lang w:val="id"/>
              </w:rPr>
              <w:t>Energi ikatan (Kkal/mol)</w:t>
            </w:r>
          </w:p>
        </w:tc>
      </w:tr>
      <w:tr w:rsidR="00B83120" w:rsidRPr="005E2950" w14:paraId="3F5A2C44" w14:textId="77777777" w:rsidTr="00FF1B3F">
        <w:trPr>
          <w:trHeight w:val="207"/>
          <w:jc w:val="center"/>
        </w:trPr>
        <w:tc>
          <w:tcPr>
            <w:tcW w:w="709" w:type="dxa"/>
            <w:tcBorders>
              <w:bottom w:val="nil"/>
            </w:tcBorders>
            <w:vAlign w:val="center"/>
          </w:tcPr>
          <w:p w14:paraId="7FF9D5A9" w14:textId="77777777" w:rsidR="00B83120" w:rsidRPr="000E61CA" w:rsidRDefault="00B83120" w:rsidP="0055003B">
            <w:pPr>
              <w:widowControl w:val="0"/>
              <w:spacing w:line="360" w:lineRule="auto"/>
              <w:ind w:left="136" w:right="129"/>
              <w:jc w:val="center"/>
              <w:rPr>
                <w:rFonts w:cs="Times New Roman"/>
                <w:sz w:val="24"/>
                <w:szCs w:val="24"/>
                <w:shd w:val="clear" w:color="auto" w:fill="FFFFFF"/>
              </w:rPr>
            </w:pPr>
            <w:r w:rsidRPr="000E61CA">
              <w:rPr>
                <w:rFonts w:cs="Times New Roman"/>
                <w:sz w:val="24"/>
                <w:szCs w:val="24"/>
                <w:shd w:val="clear" w:color="auto" w:fill="FFFFFF"/>
              </w:rPr>
              <w:t>a</w:t>
            </w:r>
          </w:p>
        </w:tc>
        <w:tc>
          <w:tcPr>
            <w:tcW w:w="2410" w:type="dxa"/>
            <w:tcBorders>
              <w:bottom w:val="nil"/>
            </w:tcBorders>
            <w:vAlign w:val="center"/>
          </w:tcPr>
          <w:p w14:paraId="2E86B1AD" w14:textId="77777777" w:rsidR="00B83120" w:rsidRPr="000E61CA" w:rsidRDefault="00B83120" w:rsidP="0055003B">
            <w:pPr>
              <w:widowControl w:val="0"/>
              <w:spacing w:line="360" w:lineRule="auto"/>
              <w:ind w:left="136" w:right="128"/>
              <w:rPr>
                <w:rFonts w:eastAsia="Times New Roman" w:cs="Times New Roman"/>
                <w:bCs/>
                <w:i/>
                <w:iCs/>
                <w:sz w:val="24"/>
                <w:szCs w:val="24"/>
                <w:lang w:val="id"/>
              </w:rPr>
            </w:pPr>
            <w:r w:rsidRPr="000E61CA">
              <w:rPr>
                <w:rFonts w:eastAsia="Times New Roman" w:cs="Times New Roman"/>
                <w:bCs/>
                <w:i/>
                <w:iCs/>
                <w:sz w:val="24"/>
                <w:szCs w:val="24"/>
                <w:lang w:val="id"/>
              </w:rPr>
              <w:t>Native Ligand</w:t>
            </w:r>
          </w:p>
        </w:tc>
        <w:tc>
          <w:tcPr>
            <w:tcW w:w="2835" w:type="dxa"/>
            <w:tcBorders>
              <w:bottom w:val="nil"/>
            </w:tcBorders>
            <w:vAlign w:val="center"/>
          </w:tcPr>
          <w:p w14:paraId="005B084D" w14:textId="77777777" w:rsidR="00B83120" w:rsidRPr="000E61CA" w:rsidRDefault="00B83120" w:rsidP="0055003B">
            <w:pPr>
              <w:widowControl w:val="0"/>
              <w:spacing w:line="360" w:lineRule="auto"/>
              <w:ind w:right="209"/>
              <w:jc w:val="center"/>
              <w:rPr>
                <w:rFonts w:eastAsia="Times New Roman" w:cs="Times New Roman"/>
                <w:bCs/>
                <w:sz w:val="24"/>
                <w:szCs w:val="24"/>
                <w:lang w:val="en-US"/>
              </w:rPr>
            </w:pPr>
            <w:r w:rsidRPr="000E61CA">
              <w:rPr>
                <w:rFonts w:eastAsia="Times New Roman" w:cs="Times New Roman"/>
                <w:bCs/>
                <w:sz w:val="24"/>
                <w:szCs w:val="24"/>
                <w:lang w:val="en-US"/>
              </w:rPr>
              <w:t>- 11,46</w:t>
            </w:r>
          </w:p>
        </w:tc>
      </w:tr>
      <w:tr w:rsidR="00B83120" w:rsidRPr="005E2950" w14:paraId="5DDA2BAA" w14:textId="77777777" w:rsidTr="00FF1B3F">
        <w:trPr>
          <w:trHeight w:val="229"/>
          <w:jc w:val="center"/>
        </w:trPr>
        <w:tc>
          <w:tcPr>
            <w:tcW w:w="709" w:type="dxa"/>
            <w:tcBorders>
              <w:top w:val="nil"/>
            </w:tcBorders>
            <w:vAlign w:val="center"/>
          </w:tcPr>
          <w:p w14:paraId="016112B0" w14:textId="77777777" w:rsidR="00B83120" w:rsidRPr="00535116" w:rsidRDefault="00B83120" w:rsidP="0055003B">
            <w:pPr>
              <w:widowControl w:val="0"/>
              <w:spacing w:line="360" w:lineRule="auto"/>
              <w:ind w:left="136" w:right="129"/>
              <w:jc w:val="center"/>
              <w:rPr>
                <w:rFonts w:cs="Times New Roman"/>
                <w:color w:val="202020"/>
                <w:sz w:val="24"/>
                <w:szCs w:val="24"/>
                <w:shd w:val="clear" w:color="auto" w:fill="FFFFFF"/>
              </w:rPr>
            </w:pPr>
            <w:r w:rsidRPr="00535116">
              <w:rPr>
                <w:rFonts w:cs="Times New Roman"/>
                <w:color w:val="202020"/>
                <w:sz w:val="24"/>
                <w:szCs w:val="24"/>
                <w:shd w:val="clear" w:color="auto" w:fill="FFFFFF"/>
              </w:rPr>
              <w:t>b</w:t>
            </w:r>
          </w:p>
        </w:tc>
        <w:tc>
          <w:tcPr>
            <w:tcW w:w="2410" w:type="dxa"/>
            <w:tcBorders>
              <w:top w:val="nil"/>
            </w:tcBorders>
            <w:vAlign w:val="center"/>
          </w:tcPr>
          <w:p w14:paraId="04168D9B" w14:textId="77777777" w:rsidR="00B83120" w:rsidRPr="00CB6571" w:rsidRDefault="00B83120" w:rsidP="0055003B">
            <w:pPr>
              <w:widowControl w:val="0"/>
              <w:spacing w:line="360" w:lineRule="auto"/>
              <w:ind w:left="136" w:right="129"/>
              <w:rPr>
                <w:rFonts w:eastAsia="Times New Roman" w:cs="Times New Roman"/>
                <w:bCs/>
                <w:sz w:val="24"/>
                <w:szCs w:val="24"/>
                <w:lang w:val="id"/>
              </w:rPr>
            </w:pPr>
            <w:r>
              <w:rPr>
                <w:rFonts w:eastAsia="Times New Roman" w:cs="Times New Roman"/>
                <w:bCs/>
                <w:sz w:val="24"/>
                <w:szCs w:val="24"/>
                <w:lang w:val="id"/>
              </w:rPr>
              <w:t>Ircinianin</w:t>
            </w:r>
          </w:p>
        </w:tc>
        <w:tc>
          <w:tcPr>
            <w:tcW w:w="2835" w:type="dxa"/>
            <w:tcBorders>
              <w:top w:val="nil"/>
            </w:tcBorders>
            <w:vAlign w:val="center"/>
          </w:tcPr>
          <w:p w14:paraId="70433877" w14:textId="77777777" w:rsidR="00B83120" w:rsidRPr="005E2950" w:rsidRDefault="00B83120" w:rsidP="0055003B">
            <w:pPr>
              <w:widowControl w:val="0"/>
              <w:spacing w:line="360" w:lineRule="auto"/>
              <w:ind w:right="209"/>
              <w:jc w:val="center"/>
              <w:rPr>
                <w:rFonts w:eastAsia="Times New Roman" w:cs="Times New Roman"/>
                <w:bCs/>
                <w:sz w:val="24"/>
                <w:szCs w:val="24"/>
                <w:lang w:val="en-US"/>
              </w:rPr>
            </w:pPr>
            <w:r>
              <w:rPr>
                <w:rFonts w:eastAsia="Times New Roman" w:cs="Times New Roman"/>
                <w:bCs/>
                <w:sz w:val="24"/>
                <w:szCs w:val="24"/>
                <w:lang w:val="en-US"/>
              </w:rPr>
              <w:t>-10,76</w:t>
            </w:r>
          </w:p>
        </w:tc>
      </w:tr>
    </w:tbl>
    <w:p w14:paraId="15CA1212" w14:textId="77777777" w:rsidR="00E835C3" w:rsidRDefault="00E835C3" w:rsidP="00E835C3"/>
    <w:tbl>
      <w:tblPr>
        <w:tblW w:w="9073" w:type="dxa"/>
        <w:jc w:val="center"/>
        <w:tblLayout w:type="fixed"/>
        <w:tblCellMar>
          <w:left w:w="0" w:type="dxa"/>
          <w:right w:w="0" w:type="dxa"/>
        </w:tblCellMar>
        <w:tblLook w:val="01E0" w:firstRow="1" w:lastRow="1" w:firstColumn="1" w:lastColumn="1" w:noHBand="0" w:noVBand="0"/>
      </w:tblPr>
      <w:tblGrid>
        <w:gridCol w:w="4679"/>
        <w:gridCol w:w="4394"/>
      </w:tblGrid>
      <w:tr w:rsidR="00CF7644" w:rsidRPr="007A68AB" w14:paraId="689615A9" w14:textId="77777777" w:rsidTr="00CF7644">
        <w:trPr>
          <w:trHeight w:val="260"/>
          <w:jc w:val="center"/>
        </w:trPr>
        <w:tc>
          <w:tcPr>
            <w:tcW w:w="4679" w:type="dxa"/>
          </w:tcPr>
          <w:p w14:paraId="722BB614" w14:textId="77777777" w:rsidR="00CF7644" w:rsidRPr="00414249" w:rsidRDefault="00CF7644" w:rsidP="00AC4F4C">
            <w:pPr>
              <w:pStyle w:val="TableParagraph"/>
              <w:numPr>
                <w:ilvl w:val="0"/>
                <w:numId w:val="1"/>
              </w:numPr>
              <w:spacing w:before="2"/>
              <w:rPr>
                <w:szCs w:val="56"/>
              </w:rPr>
            </w:pPr>
          </w:p>
          <w:p w14:paraId="11F515C1" w14:textId="77777777" w:rsidR="00CF7644" w:rsidRPr="00414249" w:rsidRDefault="00CF7644" w:rsidP="00AC4F4C">
            <w:pPr>
              <w:pStyle w:val="TableParagraph"/>
              <w:spacing w:before="2"/>
              <w:ind w:left="720"/>
              <w:rPr>
                <w:noProof/>
              </w:rPr>
            </w:pPr>
          </w:p>
          <w:p w14:paraId="02504397" w14:textId="77777777" w:rsidR="00CF7644" w:rsidRDefault="00CF7644" w:rsidP="00AC4F4C">
            <w:pPr>
              <w:pStyle w:val="TableParagraph"/>
              <w:spacing w:before="2"/>
              <w:ind w:left="177"/>
              <w:rPr>
                <w:szCs w:val="56"/>
              </w:rPr>
            </w:pPr>
            <w:r>
              <w:rPr>
                <w:noProof/>
              </w:rPr>
              <w:drawing>
                <wp:inline distT="0" distB="0" distL="0" distR="0" wp14:anchorId="3FC10768" wp14:editId="6B45E9C2">
                  <wp:extent cx="2964815" cy="1675130"/>
                  <wp:effectExtent l="0" t="0" r="6985" b="1270"/>
                  <wp:docPr id="21107492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4815" cy="1675130"/>
                          </a:xfrm>
                          <a:prstGeom prst="rect">
                            <a:avLst/>
                          </a:prstGeom>
                          <a:noFill/>
                          <a:ln>
                            <a:noFill/>
                          </a:ln>
                        </pic:spPr>
                      </pic:pic>
                    </a:graphicData>
                  </a:graphic>
                </wp:inline>
              </w:drawing>
            </w:r>
          </w:p>
          <w:p w14:paraId="5C3DAD5A" w14:textId="77777777" w:rsidR="00CF7644" w:rsidRPr="00414249" w:rsidRDefault="00CF7644" w:rsidP="00AC4F4C">
            <w:pPr>
              <w:pStyle w:val="TableParagraph"/>
              <w:spacing w:before="2"/>
              <w:ind w:left="177"/>
              <w:rPr>
                <w:szCs w:val="56"/>
              </w:rPr>
            </w:pPr>
          </w:p>
        </w:tc>
        <w:tc>
          <w:tcPr>
            <w:tcW w:w="4394" w:type="dxa"/>
          </w:tcPr>
          <w:p w14:paraId="45304A10" w14:textId="77777777" w:rsidR="00CF7644" w:rsidRPr="00414249" w:rsidRDefault="00CF7644" w:rsidP="00AC4F4C">
            <w:pPr>
              <w:pStyle w:val="NormalWeb"/>
              <w:jc w:val="center"/>
              <w:rPr>
                <w:sz w:val="12"/>
                <w:szCs w:val="12"/>
              </w:rPr>
            </w:pPr>
            <w:r>
              <w:rPr>
                <w:noProof/>
              </w:rPr>
              <w:drawing>
                <wp:inline distT="0" distB="0" distL="0" distR="0" wp14:anchorId="7425B487" wp14:editId="658BA563">
                  <wp:extent cx="2698750" cy="2603500"/>
                  <wp:effectExtent l="0" t="0" r="6350" b="6350"/>
                  <wp:docPr id="197543436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1" r="3056" b="1774"/>
                          <a:stretch/>
                        </pic:blipFill>
                        <pic:spPr bwMode="auto">
                          <a:xfrm>
                            <a:off x="0" y="0"/>
                            <a:ext cx="2698750" cy="2603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7644" w:rsidRPr="007A68AB" w14:paraId="6B5D2539" w14:textId="77777777" w:rsidTr="00CF7644">
        <w:trPr>
          <w:trHeight w:val="2501"/>
          <w:jc w:val="center"/>
        </w:trPr>
        <w:tc>
          <w:tcPr>
            <w:tcW w:w="4679" w:type="dxa"/>
            <w:vAlign w:val="center"/>
          </w:tcPr>
          <w:p w14:paraId="60C9EA08" w14:textId="77777777" w:rsidR="00CF7644" w:rsidRDefault="003C4D17" w:rsidP="00AC4F4C">
            <w:pPr>
              <w:pStyle w:val="NormalWeb"/>
              <w:numPr>
                <w:ilvl w:val="0"/>
                <w:numId w:val="1"/>
              </w:numPr>
              <w:rPr>
                <w:noProof/>
              </w:rPr>
            </w:pPr>
            <w:r>
              <w:rPr>
                <w:noProof/>
              </w:rPr>
              <w:drawing>
                <wp:anchor distT="0" distB="0" distL="114300" distR="114300" simplePos="0" relativeHeight="251659264" behindDoc="0" locked="0" layoutInCell="1" allowOverlap="1" wp14:anchorId="3954BB08" wp14:editId="0297E33F">
                  <wp:simplePos x="0" y="0"/>
                  <wp:positionH relativeFrom="column">
                    <wp:posOffset>2971165</wp:posOffset>
                  </wp:positionH>
                  <wp:positionV relativeFrom="paragraph">
                    <wp:posOffset>245745</wp:posOffset>
                  </wp:positionV>
                  <wp:extent cx="2724150" cy="2860675"/>
                  <wp:effectExtent l="0" t="0" r="0" b="0"/>
                  <wp:wrapNone/>
                  <wp:docPr id="1437512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367"/>
                          <a:stretch/>
                        </pic:blipFill>
                        <pic:spPr bwMode="auto">
                          <a:xfrm>
                            <a:off x="0" y="0"/>
                            <a:ext cx="2724150" cy="2860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24157D" w14:textId="77777777" w:rsidR="00CF7644" w:rsidRDefault="003C4D17" w:rsidP="00AC4F4C">
            <w:pPr>
              <w:pStyle w:val="NormalWeb"/>
              <w:rPr>
                <w:noProof/>
              </w:rPr>
            </w:pPr>
            <w:r>
              <w:rPr>
                <w:noProof/>
              </w:rPr>
              <w:drawing>
                <wp:anchor distT="0" distB="0" distL="114300" distR="114300" simplePos="0" relativeHeight="251658240" behindDoc="0" locked="0" layoutInCell="1" allowOverlap="1" wp14:anchorId="17F5AA5A" wp14:editId="4694F698">
                  <wp:simplePos x="0" y="0"/>
                  <wp:positionH relativeFrom="column">
                    <wp:posOffset>0</wp:posOffset>
                  </wp:positionH>
                  <wp:positionV relativeFrom="paragraph">
                    <wp:posOffset>117475</wp:posOffset>
                  </wp:positionV>
                  <wp:extent cx="2971165" cy="1501775"/>
                  <wp:effectExtent l="0" t="0" r="635" b="3175"/>
                  <wp:wrapNone/>
                  <wp:docPr id="6707522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165"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593B6C" w14:textId="77777777" w:rsidR="00CF7644" w:rsidRDefault="00CF7644" w:rsidP="00AC4F4C">
            <w:pPr>
              <w:pStyle w:val="NormalWeb"/>
              <w:ind w:left="720"/>
              <w:rPr>
                <w:noProof/>
              </w:rPr>
            </w:pPr>
          </w:p>
          <w:p w14:paraId="76495DFF" w14:textId="77777777" w:rsidR="00CF7644" w:rsidRDefault="00CF7644" w:rsidP="00AC4F4C">
            <w:pPr>
              <w:pStyle w:val="NormalWeb"/>
              <w:ind w:left="720"/>
              <w:rPr>
                <w:noProof/>
              </w:rPr>
            </w:pPr>
          </w:p>
          <w:p w14:paraId="77A7EF94" w14:textId="77777777" w:rsidR="00CF7644" w:rsidRPr="00414249" w:rsidRDefault="00CF7644" w:rsidP="00AC4F4C">
            <w:pPr>
              <w:pStyle w:val="NormalWeb"/>
              <w:ind w:left="720"/>
              <w:rPr>
                <w:noProof/>
              </w:rPr>
            </w:pPr>
          </w:p>
        </w:tc>
        <w:tc>
          <w:tcPr>
            <w:tcW w:w="4394" w:type="dxa"/>
          </w:tcPr>
          <w:p w14:paraId="009EE8FF" w14:textId="77777777" w:rsidR="00CF7644" w:rsidRPr="00414249" w:rsidRDefault="00CF7644" w:rsidP="00AC4F4C">
            <w:pPr>
              <w:pStyle w:val="NormalWeb"/>
              <w:jc w:val="center"/>
              <w:rPr>
                <w:noProof/>
              </w:rPr>
            </w:pPr>
          </w:p>
        </w:tc>
      </w:tr>
    </w:tbl>
    <w:p w14:paraId="6F69EA73" w14:textId="77777777" w:rsidR="00CF7644" w:rsidRDefault="00CF7644">
      <w:pPr>
        <w:spacing w:after="160" w:line="360" w:lineRule="auto"/>
        <w:ind w:firstLine="426"/>
        <w:jc w:val="both"/>
        <w:rPr>
          <w:color w:val="000000"/>
          <w:sz w:val="22"/>
          <w:szCs w:val="22"/>
        </w:rPr>
      </w:pPr>
    </w:p>
    <w:p w14:paraId="4D5434FD" w14:textId="77777777" w:rsidR="003C4D17" w:rsidRDefault="003C4D17">
      <w:pPr>
        <w:spacing w:after="160" w:line="360" w:lineRule="auto"/>
        <w:ind w:firstLine="426"/>
        <w:jc w:val="both"/>
        <w:rPr>
          <w:color w:val="000000"/>
          <w:sz w:val="22"/>
          <w:szCs w:val="22"/>
        </w:rPr>
      </w:pPr>
    </w:p>
    <w:p w14:paraId="3281A773" w14:textId="77777777" w:rsidR="00E36CCD" w:rsidRDefault="00E36CCD" w:rsidP="00C06867">
      <w:pPr>
        <w:spacing w:before="240" w:line="360" w:lineRule="auto"/>
        <w:ind w:left="720"/>
        <w:contextualSpacing/>
        <w:jc w:val="center"/>
        <w:rPr>
          <w:rFonts w:eastAsia="Calibri" w:cs="Times New Roman"/>
          <w:b/>
          <w:bCs/>
          <w:lang w:val="en-US"/>
        </w:rPr>
      </w:pPr>
    </w:p>
    <w:p w14:paraId="3301C2F1" w14:textId="77777777" w:rsidR="00E36CCD" w:rsidRDefault="00E36CCD" w:rsidP="00C06867">
      <w:pPr>
        <w:spacing w:before="240" w:line="360" w:lineRule="auto"/>
        <w:ind w:left="720"/>
        <w:contextualSpacing/>
        <w:jc w:val="center"/>
        <w:rPr>
          <w:rFonts w:eastAsia="Calibri" w:cs="Times New Roman"/>
          <w:b/>
          <w:bCs/>
          <w:lang w:val="en-US"/>
        </w:rPr>
      </w:pPr>
    </w:p>
    <w:p w14:paraId="65A05B0F" w14:textId="77777777" w:rsidR="00E36CCD" w:rsidRDefault="00E36CCD" w:rsidP="00C06867">
      <w:pPr>
        <w:spacing w:before="240" w:line="360" w:lineRule="auto"/>
        <w:ind w:left="720"/>
        <w:contextualSpacing/>
        <w:jc w:val="center"/>
        <w:rPr>
          <w:rFonts w:eastAsia="Calibri" w:cs="Times New Roman"/>
          <w:b/>
          <w:bCs/>
          <w:lang w:val="en-US"/>
        </w:rPr>
      </w:pPr>
    </w:p>
    <w:p w14:paraId="53D2418A" w14:textId="77777777" w:rsidR="00E36CCD" w:rsidRDefault="00E36CCD" w:rsidP="00C06867">
      <w:pPr>
        <w:spacing w:before="240" w:line="360" w:lineRule="auto"/>
        <w:ind w:left="720"/>
        <w:contextualSpacing/>
        <w:jc w:val="center"/>
        <w:rPr>
          <w:rFonts w:eastAsia="Calibri" w:cs="Times New Roman"/>
          <w:b/>
          <w:bCs/>
          <w:lang w:val="en-US"/>
        </w:rPr>
      </w:pPr>
    </w:p>
    <w:p w14:paraId="797C3620" w14:textId="397DD878" w:rsidR="003C4D17" w:rsidRPr="00FF1B3F" w:rsidRDefault="00C06867" w:rsidP="00FF1B3F">
      <w:pPr>
        <w:spacing w:before="240" w:line="360" w:lineRule="auto"/>
        <w:ind w:left="720"/>
        <w:contextualSpacing/>
        <w:jc w:val="center"/>
        <w:rPr>
          <w:rFonts w:eastAsia="Calibri" w:cs="Times New Roman"/>
          <w:i/>
          <w:lang w:val="en-US"/>
        </w:rPr>
      </w:pPr>
      <w:r>
        <w:rPr>
          <w:rFonts w:eastAsia="Calibri" w:cs="Times New Roman"/>
          <w:b/>
          <w:bCs/>
          <w:lang w:val="en-US"/>
        </w:rPr>
        <w:t xml:space="preserve">Gambar </w:t>
      </w:r>
      <w:r w:rsidRPr="00E835C3">
        <w:rPr>
          <w:rFonts w:eastAsia="Calibri" w:cs="Times New Roman"/>
          <w:b/>
          <w:bCs/>
          <w:lang w:val="en-US"/>
        </w:rPr>
        <w:t xml:space="preserve">1. </w:t>
      </w:r>
      <w:proofErr w:type="spellStart"/>
      <w:r w:rsidRPr="00F30424">
        <w:rPr>
          <w:rFonts w:eastAsia="Calibri" w:cs="Times New Roman"/>
          <w:lang w:val="en-US"/>
        </w:rPr>
        <w:t>Visualisasi</w:t>
      </w:r>
      <w:proofErr w:type="spellEnd"/>
      <w:r w:rsidRPr="00F30424">
        <w:rPr>
          <w:rFonts w:eastAsia="Calibri" w:cs="Times New Roman"/>
          <w:lang w:val="en-US"/>
        </w:rPr>
        <w:t xml:space="preserve"> </w:t>
      </w:r>
      <w:proofErr w:type="spellStart"/>
      <w:r w:rsidRPr="00F30424">
        <w:rPr>
          <w:rFonts w:eastAsia="Calibri" w:cs="Times New Roman"/>
          <w:lang w:val="en-US"/>
        </w:rPr>
        <w:t>Interaksi</w:t>
      </w:r>
      <w:proofErr w:type="spellEnd"/>
      <w:r w:rsidRPr="00F30424">
        <w:rPr>
          <w:rFonts w:eastAsia="Calibri" w:cs="Times New Roman"/>
          <w:lang w:val="en-US"/>
        </w:rPr>
        <w:t xml:space="preserve"> </w:t>
      </w:r>
      <w:proofErr w:type="spellStart"/>
      <w:r w:rsidRPr="00F30424">
        <w:rPr>
          <w:rFonts w:eastAsia="Calibri" w:cs="Times New Roman"/>
          <w:lang w:val="en-US"/>
        </w:rPr>
        <w:t>asam</w:t>
      </w:r>
      <w:proofErr w:type="spellEnd"/>
      <w:r w:rsidRPr="00F30424">
        <w:rPr>
          <w:rFonts w:eastAsia="Calibri" w:cs="Times New Roman"/>
          <w:lang w:val="en-US"/>
        </w:rPr>
        <w:t xml:space="preserve"> amino native ligand (a) </w:t>
      </w:r>
      <w:proofErr w:type="spellStart"/>
      <w:r w:rsidRPr="00F30424">
        <w:rPr>
          <w:rFonts w:eastAsia="Calibri" w:cs="Times New Roman"/>
          <w:lang w:val="en-US"/>
        </w:rPr>
        <w:t>dengan</w:t>
      </w:r>
      <w:proofErr w:type="spellEnd"/>
      <w:r w:rsidRPr="00F30424">
        <w:rPr>
          <w:rFonts w:eastAsia="Calibri" w:cs="Times New Roman"/>
          <w:lang w:val="en-US"/>
        </w:rPr>
        <w:t xml:space="preserve"> </w:t>
      </w:r>
      <w:proofErr w:type="spellStart"/>
      <w:r w:rsidRPr="00F30424">
        <w:rPr>
          <w:rFonts w:eastAsia="Calibri" w:cs="Times New Roman"/>
          <w:lang w:val="en-US"/>
        </w:rPr>
        <w:t>ircinianin</w:t>
      </w:r>
      <w:proofErr w:type="spellEnd"/>
      <w:r w:rsidRPr="00F30424">
        <w:rPr>
          <w:rFonts w:eastAsia="Calibri" w:cs="Times New Roman"/>
          <w:lang w:val="en-US"/>
        </w:rPr>
        <w:t xml:space="preserve"> (b) </w:t>
      </w:r>
      <w:r w:rsidR="00B502E1" w:rsidRPr="00F30424">
        <w:rPr>
          <w:rFonts w:eastAsia="Calibri" w:cs="Times New Roman"/>
          <w:lang w:val="en-US"/>
        </w:rPr>
        <w:t xml:space="preserve">pada </w:t>
      </w:r>
      <w:r w:rsidRPr="00F30424">
        <w:rPr>
          <w:rFonts w:eastAsia="Calibri" w:cs="Times New Roman"/>
          <w:lang w:val="en-US"/>
        </w:rPr>
        <w:t xml:space="preserve">protein </w:t>
      </w:r>
      <w:r w:rsidRPr="00F30424">
        <w:rPr>
          <w:rFonts w:eastAsia="Calibri" w:cs="Times New Roman"/>
        </w:rPr>
        <w:t>SGLT-2</w:t>
      </w:r>
    </w:p>
    <w:p w14:paraId="2D356961" w14:textId="77777777" w:rsidR="00A12DB7" w:rsidRDefault="00000000">
      <w:pPr>
        <w:spacing w:line="259" w:lineRule="auto"/>
        <w:rPr>
          <w:b/>
          <w:sz w:val="22"/>
          <w:szCs w:val="22"/>
        </w:rPr>
      </w:pPr>
      <w:r>
        <w:rPr>
          <w:b/>
          <w:sz w:val="22"/>
          <w:szCs w:val="22"/>
        </w:rPr>
        <w:t>PEMBAHASAN</w:t>
      </w:r>
    </w:p>
    <w:p w14:paraId="75187C89" w14:textId="77777777" w:rsidR="00B83120" w:rsidRDefault="00B83120" w:rsidP="00C4749A">
      <w:pPr>
        <w:spacing w:line="360" w:lineRule="auto"/>
        <w:ind w:firstLine="426"/>
        <w:jc w:val="both"/>
        <w:rPr>
          <w:color w:val="000000"/>
          <w:sz w:val="22"/>
          <w:szCs w:val="22"/>
          <w:lang w:val="en-ID"/>
        </w:rPr>
      </w:pPr>
      <w:proofErr w:type="spellStart"/>
      <w:r w:rsidRPr="00B83120">
        <w:rPr>
          <w:color w:val="000000"/>
          <w:sz w:val="22"/>
          <w:szCs w:val="22"/>
        </w:rPr>
        <w:t>Berdasarkan</w:t>
      </w:r>
      <w:proofErr w:type="spellEnd"/>
      <w:r w:rsidRPr="00B83120">
        <w:rPr>
          <w:color w:val="000000"/>
          <w:sz w:val="22"/>
          <w:szCs w:val="22"/>
        </w:rPr>
        <w:t xml:space="preserve"> </w:t>
      </w:r>
      <w:proofErr w:type="spellStart"/>
      <w:r w:rsidRPr="00B83120">
        <w:rPr>
          <w:color w:val="000000"/>
          <w:sz w:val="22"/>
          <w:szCs w:val="22"/>
        </w:rPr>
        <w:t>hasil</w:t>
      </w:r>
      <w:proofErr w:type="spellEnd"/>
      <w:r w:rsidRPr="00B83120">
        <w:rPr>
          <w:color w:val="000000"/>
          <w:sz w:val="22"/>
          <w:szCs w:val="22"/>
        </w:rPr>
        <w:t xml:space="preserve"> </w:t>
      </w:r>
      <w:proofErr w:type="spellStart"/>
      <w:r w:rsidRPr="00B83120">
        <w:rPr>
          <w:color w:val="000000"/>
          <w:sz w:val="22"/>
          <w:szCs w:val="22"/>
        </w:rPr>
        <w:t>analisis</w:t>
      </w:r>
      <w:proofErr w:type="spellEnd"/>
      <w:r w:rsidRPr="00B83120">
        <w:rPr>
          <w:color w:val="000000"/>
          <w:sz w:val="22"/>
          <w:szCs w:val="22"/>
        </w:rPr>
        <w:t xml:space="preserve"> docking yang </w:t>
      </w:r>
      <w:proofErr w:type="spellStart"/>
      <w:r w:rsidRPr="00B83120">
        <w:rPr>
          <w:color w:val="000000"/>
          <w:sz w:val="22"/>
          <w:szCs w:val="22"/>
        </w:rPr>
        <w:t>ditampilkan</w:t>
      </w:r>
      <w:proofErr w:type="spellEnd"/>
      <w:r w:rsidRPr="00B83120">
        <w:rPr>
          <w:color w:val="000000"/>
          <w:sz w:val="22"/>
          <w:szCs w:val="22"/>
        </w:rPr>
        <w:t xml:space="preserve"> pada Tabel 1, </w:t>
      </w:r>
      <w:proofErr w:type="spellStart"/>
      <w:r w:rsidRPr="00B83120">
        <w:rPr>
          <w:color w:val="000000"/>
          <w:sz w:val="22"/>
          <w:szCs w:val="22"/>
        </w:rPr>
        <w:t>diketahui</w:t>
      </w:r>
      <w:proofErr w:type="spellEnd"/>
      <w:r w:rsidRPr="00B83120">
        <w:rPr>
          <w:color w:val="000000"/>
          <w:sz w:val="22"/>
          <w:szCs w:val="22"/>
        </w:rPr>
        <w:t xml:space="preserve"> </w:t>
      </w:r>
      <w:proofErr w:type="spellStart"/>
      <w:r w:rsidRPr="00B83120">
        <w:rPr>
          <w:color w:val="000000"/>
          <w:sz w:val="22"/>
          <w:szCs w:val="22"/>
        </w:rPr>
        <w:t>bahwa</w:t>
      </w:r>
      <w:proofErr w:type="spellEnd"/>
      <w:r w:rsidRPr="00B83120">
        <w:rPr>
          <w:color w:val="000000"/>
          <w:sz w:val="22"/>
          <w:szCs w:val="22"/>
        </w:rPr>
        <w:t xml:space="preserve"> </w:t>
      </w:r>
      <w:proofErr w:type="spellStart"/>
      <w:r w:rsidRPr="00B83120">
        <w:rPr>
          <w:color w:val="000000"/>
          <w:sz w:val="22"/>
          <w:szCs w:val="22"/>
        </w:rPr>
        <w:t>energi</w:t>
      </w:r>
      <w:proofErr w:type="spellEnd"/>
      <w:r w:rsidRPr="00B83120">
        <w:rPr>
          <w:color w:val="000000"/>
          <w:sz w:val="22"/>
          <w:szCs w:val="22"/>
        </w:rPr>
        <w:t xml:space="preserve"> </w:t>
      </w:r>
      <w:proofErr w:type="spellStart"/>
      <w:r w:rsidRPr="00B83120">
        <w:rPr>
          <w:color w:val="000000"/>
          <w:sz w:val="22"/>
          <w:szCs w:val="22"/>
        </w:rPr>
        <w:t>ikatan</w:t>
      </w:r>
      <w:proofErr w:type="spellEnd"/>
      <w:r w:rsidRPr="00B83120">
        <w:rPr>
          <w:color w:val="000000"/>
          <w:sz w:val="22"/>
          <w:szCs w:val="22"/>
        </w:rPr>
        <w:t xml:space="preserve"> (</w:t>
      </w:r>
      <w:r w:rsidRPr="00B83120">
        <w:rPr>
          <w:i/>
          <w:iCs/>
          <w:color w:val="000000"/>
          <w:sz w:val="22"/>
          <w:szCs w:val="22"/>
        </w:rPr>
        <w:t>binding energy</w:t>
      </w:r>
      <w:r w:rsidRPr="00B83120">
        <w:rPr>
          <w:color w:val="000000"/>
          <w:sz w:val="22"/>
          <w:szCs w:val="22"/>
        </w:rPr>
        <w:t xml:space="preserve">) </w:t>
      </w:r>
      <w:proofErr w:type="spellStart"/>
      <w:r w:rsidRPr="00B83120">
        <w:rPr>
          <w:color w:val="000000"/>
          <w:sz w:val="22"/>
          <w:szCs w:val="22"/>
        </w:rPr>
        <w:t>antara</w:t>
      </w:r>
      <w:proofErr w:type="spellEnd"/>
      <w:r w:rsidRPr="00B83120">
        <w:rPr>
          <w:color w:val="000000"/>
          <w:sz w:val="22"/>
          <w:szCs w:val="22"/>
        </w:rPr>
        <w:t xml:space="preserve"> </w:t>
      </w:r>
      <w:r w:rsidRPr="00B83120">
        <w:rPr>
          <w:i/>
          <w:iCs/>
          <w:color w:val="000000"/>
          <w:sz w:val="22"/>
          <w:szCs w:val="22"/>
        </w:rPr>
        <w:t>native ligand</w:t>
      </w:r>
      <w:r w:rsidRPr="00B83120">
        <w:rPr>
          <w:color w:val="000000"/>
          <w:sz w:val="22"/>
          <w:szCs w:val="22"/>
        </w:rPr>
        <w:t xml:space="preserve"> </w:t>
      </w:r>
      <w:proofErr w:type="spellStart"/>
      <w:r w:rsidRPr="00B83120">
        <w:rPr>
          <w:color w:val="000000"/>
          <w:sz w:val="22"/>
          <w:szCs w:val="22"/>
        </w:rPr>
        <w:t>dengan</w:t>
      </w:r>
      <w:proofErr w:type="spellEnd"/>
      <w:r w:rsidRPr="00B83120">
        <w:rPr>
          <w:color w:val="000000"/>
          <w:sz w:val="22"/>
          <w:szCs w:val="22"/>
        </w:rPr>
        <w:t xml:space="preserve"> </w:t>
      </w:r>
      <w:proofErr w:type="spellStart"/>
      <w:r w:rsidRPr="00B83120">
        <w:rPr>
          <w:color w:val="000000"/>
          <w:sz w:val="22"/>
          <w:szCs w:val="22"/>
        </w:rPr>
        <w:t>reseptor</w:t>
      </w:r>
      <w:proofErr w:type="spellEnd"/>
      <w:r w:rsidRPr="00B83120">
        <w:rPr>
          <w:color w:val="000000"/>
          <w:sz w:val="22"/>
          <w:szCs w:val="22"/>
        </w:rPr>
        <w:t xml:space="preserve"> SGLT-2 </w:t>
      </w:r>
      <w:proofErr w:type="spellStart"/>
      <w:r w:rsidRPr="00B83120">
        <w:rPr>
          <w:color w:val="000000"/>
          <w:sz w:val="22"/>
          <w:szCs w:val="22"/>
        </w:rPr>
        <w:t>adalah</w:t>
      </w:r>
      <w:proofErr w:type="spellEnd"/>
      <w:r w:rsidRPr="00B83120">
        <w:rPr>
          <w:color w:val="000000"/>
          <w:sz w:val="22"/>
          <w:szCs w:val="22"/>
        </w:rPr>
        <w:t xml:space="preserve"> </w:t>
      </w:r>
      <w:proofErr w:type="spellStart"/>
      <w:r w:rsidRPr="00B83120">
        <w:rPr>
          <w:color w:val="000000"/>
          <w:sz w:val="22"/>
          <w:szCs w:val="22"/>
        </w:rPr>
        <w:t>sebesar</w:t>
      </w:r>
      <w:proofErr w:type="spellEnd"/>
      <w:r w:rsidRPr="00B83120">
        <w:rPr>
          <w:color w:val="000000"/>
          <w:sz w:val="22"/>
          <w:szCs w:val="22"/>
        </w:rPr>
        <w:t xml:space="preserve"> -11,46 kcal/mol. </w:t>
      </w:r>
      <w:proofErr w:type="spellStart"/>
      <w:r w:rsidRPr="00B83120">
        <w:rPr>
          <w:color w:val="000000"/>
          <w:sz w:val="22"/>
          <w:szCs w:val="22"/>
        </w:rPr>
        <w:t>Sementara</w:t>
      </w:r>
      <w:proofErr w:type="spellEnd"/>
      <w:r w:rsidRPr="00B83120">
        <w:rPr>
          <w:color w:val="000000"/>
          <w:sz w:val="22"/>
          <w:szCs w:val="22"/>
        </w:rPr>
        <w:t xml:space="preserve"> </w:t>
      </w:r>
      <w:proofErr w:type="spellStart"/>
      <w:r w:rsidRPr="00B83120">
        <w:rPr>
          <w:color w:val="000000"/>
          <w:sz w:val="22"/>
          <w:szCs w:val="22"/>
        </w:rPr>
        <w:t>itu</w:t>
      </w:r>
      <w:proofErr w:type="spellEnd"/>
      <w:r w:rsidRPr="00B83120">
        <w:rPr>
          <w:color w:val="000000"/>
          <w:sz w:val="22"/>
          <w:szCs w:val="22"/>
        </w:rPr>
        <w:t xml:space="preserve">, </w:t>
      </w:r>
      <w:proofErr w:type="spellStart"/>
      <w:r w:rsidRPr="00B83120">
        <w:rPr>
          <w:color w:val="000000"/>
          <w:sz w:val="22"/>
          <w:szCs w:val="22"/>
        </w:rPr>
        <w:t>energi</w:t>
      </w:r>
      <w:proofErr w:type="spellEnd"/>
      <w:r w:rsidRPr="00B83120">
        <w:rPr>
          <w:color w:val="000000"/>
          <w:sz w:val="22"/>
          <w:szCs w:val="22"/>
        </w:rPr>
        <w:t xml:space="preserve"> </w:t>
      </w:r>
      <w:proofErr w:type="spellStart"/>
      <w:r w:rsidRPr="00B83120">
        <w:rPr>
          <w:color w:val="000000"/>
          <w:sz w:val="22"/>
          <w:szCs w:val="22"/>
        </w:rPr>
        <w:t>ikatan</w:t>
      </w:r>
      <w:proofErr w:type="spellEnd"/>
      <w:r w:rsidRPr="00B83120">
        <w:rPr>
          <w:color w:val="000000"/>
          <w:sz w:val="22"/>
          <w:szCs w:val="22"/>
        </w:rPr>
        <w:t xml:space="preserve"> </w:t>
      </w:r>
      <w:proofErr w:type="spellStart"/>
      <w:r w:rsidRPr="00B83120">
        <w:rPr>
          <w:color w:val="000000"/>
          <w:sz w:val="22"/>
          <w:szCs w:val="22"/>
        </w:rPr>
        <w:t>ircinianin</w:t>
      </w:r>
      <w:proofErr w:type="spellEnd"/>
      <w:r w:rsidRPr="00B83120">
        <w:rPr>
          <w:color w:val="000000"/>
          <w:sz w:val="22"/>
          <w:szCs w:val="22"/>
        </w:rPr>
        <w:t xml:space="preserve"> </w:t>
      </w:r>
      <w:proofErr w:type="spellStart"/>
      <w:r w:rsidRPr="00B83120">
        <w:rPr>
          <w:color w:val="000000"/>
          <w:sz w:val="22"/>
          <w:szCs w:val="22"/>
        </w:rPr>
        <w:t>dengan</w:t>
      </w:r>
      <w:proofErr w:type="spellEnd"/>
      <w:r w:rsidRPr="00B83120">
        <w:rPr>
          <w:color w:val="000000"/>
          <w:sz w:val="22"/>
          <w:szCs w:val="22"/>
        </w:rPr>
        <w:t xml:space="preserve"> </w:t>
      </w:r>
      <w:proofErr w:type="spellStart"/>
      <w:r w:rsidRPr="00B83120">
        <w:rPr>
          <w:color w:val="000000"/>
          <w:sz w:val="22"/>
          <w:szCs w:val="22"/>
        </w:rPr>
        <w:t>reseptor</w:t>
      </w:r>
      <w:proofErr w:type="spellEnd"/>
      <w:r w:rsidRPr="00B83120">
        <w:rPr>
          <w:color w:val="000000"/>
          <w:sz w:val="22"/>
          <w:szCs w:val="22"/>
        </w:rPr>
        <w:t xml:space="preserve"> SGLT-2 </w:t>
      </w:r>
      <w:proofErr w:type="spellStart"/>
      <w:r w:rsidRPr="00B83120">
        <w:rPr>
          <w:color w:val="000000"/>
          <w:sz w:val="22"/>
          <w:szCs w:val="22"/>
        </w:rPr>
        <w:t>adalah</w:t>
      </w:r>
      <w:proofErr w:type="spellEnd"/>
      <w:r w:rsidRPr="00B83120">
        <w:rPr>
          <w:color w:val="000000"/>
          <w:sz w:val="22"/>
          <w:szCs w:val="22"/>
        </w:rPr>
        <w:t xml:space="preserve"> -10,76 kcal/mol. Energi </w:t>
      </w:r>
      <w:proofErr w:type="spellStart"/>
      <w:r w:rsidRPr="00B83120">
        <w:rPr>
          <w:color w:val="000000"/>
          <w:sz w:val="22"/>
          <w:szCs w:val="22"/>
        </w:rPr>
        <w:t>ikatan</w:t>
      </w:r>
      <w:proofErr w:type="spellEnd"/>
      <w:r w:rsidRPr="00B83120">
        <w:rPr>
          <w:color w:val="000000"/>
          <w:sz w:val="22"/>
          <w:szCs w:val="22"/>
        </w:rPr>
        <w:t xml:space="preserve"> yang </w:t>
      </w:r>
      <w:proofErr w:type="spellStart"/>
      <w:r w:rsidRPr="00B83120">
        <w:rPr>
          <w:color w:val="000000"/>
          <w:sz w:val="22"/>
          <w:szCs w:val="22"/>
        </w:rPr>
        <w:t>lebih</w:t>
      </w:r>
      <w:proofErr w:type="spellEnd"/>
      <w:r w:rsidRPr="00B83120">
        <w:rPr>
          <w:color w:val="000000"/>
          <w:sz w:val="22"/>
          <w:szCs w:val="22"/>
        </w:rPr>
        <w:t xml:space="preserve"> </w:t>
      </w:r>
      <w:proofErr w:type="spellStart"/>
      <w:r w:rsidRPr="00B83120">
        <w:rPr>
          <w:color w:val="000000"/>
          <w:sz w:val="22"/>
          <w:szCs w:val="22"/>
        </w:rPr>
        <w:t>negatif</w:t>
      </w:r>
      <w:proofErr w:type="spellEnd"/>
      <w:r w:rsidRPr="00B83120">
        <w:rPr>
          <w:color w:val="000000"/>
          <w:sz w:val="22"/>
          <w:szCs w:val="22"/>
        </w:rPr>
        <w:t xml:space="preserve"> </w:t>
      </w:r>
      <w:proofErr w:type="spellStart"/>
      <w:r w:rsidRPr="00B83120">
        <w:rPr>
          <w:color w:val="000000"/>
          <w:sz w:val="22"/>
          <w:szCs w:val="22"/>
        </w:rPr>
        <w:t>menunjukkan</w:t>
      </w:r>
      <w:proofErr w:type="spellEnd"/>
      <w:r w:rsidRPr="00B83120">
        <w:rPr>
          <w:color w:val="000000"/>
          <w:sz w:val="22"/>
          <w:szCs w:val="22"/>
        </w:rPr>
        <w:t xml:space="preserve"> </w:t>
      </w:r>
      <w:proofErr w:type="spellStart"/>
      <w:r w:rsidRPr="00B83120">
        <w:rPr>
          <w:color w:val="000000"/>
          <w:sz w:val="22"/>
          <w:szCs w:val="22"/>
        </w:rPr>
        <w:t>interaksi</w:t>
      </w:r>
      <w:proofErr w:type="spellEnd"/>
      <w:r w:rsidRPr="00B83120">
        <w:rPr>
          <w:color w:val="000000"/>
          <w:sz w:val="22"/>
          <w:szCs w:val="22"/>
        </w:rPr>
        <w:t xml:space="preserve"> yang </w:t>
      </w:r>
      <w:proofErr w:type="spellStart"/>
      <w:r w:rsidRPr="00B83120">
        <w:rPr>
          <w:color w:val="000000"/>
          <w:sz w:val="22"/>
          <w:szCs w:val="22"/>
        </w:rPr>
        <w:t>lebih</w:t>
      </w:r>
      <w:proofErr w:type="spellEnd"/>
      <w:r w:rsidRPr="00B83120">
        <w:rPr>
          <w:color w:val="000000"/>
          <w:sz w:val="22"/>
          <w:szCs w:val="22"/>
        </w:rPr>
        <w:t xml:space="preserve"> </w:t>
      </w:r>
      <w:proofErr w:type="spellStart"/>
      <w:r w:rsidRPr="00B83120">
        <w:rPr>
          <w:color w:val="000000"/>
          <w:sz w:val="22"/>
          <w:szCs w:val="22"/>
        </w:rPr>
        <w:t>stabil</w:t>
      </w:r>
      <w:proofErr w:type="spellEnd"/>
      <w:r w:rsidRPr="00B83120">
        <w:rPr>
          <w:color w:val="000000"/>
          <w:sz w:val="22"/>
          <w:szCs w:val="22"/>
        </w:rPr>
        <w:t xml:space="preserve"> </w:t>
      </w:r>
      <w:proofErr w:type="spellStart"/>
      <w:r w:rsidRPr="00B83120">
        <w:rPr>
          <w:color w:val="000000"/>
          <w:sz w:val="22"/>
          <w:szCs w:val="22"/>
        </w:rPr>
        <w:t>antara</w:t>
      </w:r>
      <w:proofErr w:type="spellEnd"/>
      <w:r w:rsidRPr="00B83120">
        <w:rPr>
          <w:color w:val="000000"/>
          <w:sz w:val="22"/>
          <w:szCs w:val="22"/>
        </w:rPr>
        <w:t xml:space="preserve"> ligand </w:t>
      </w:r>
      <w:proofErr w:type="spellStart"/>
      <w:r w:rsidRPr="00B83120">
        <w:rPr>
          <w:color w:val="000000"/>
          <w:sz w:val="22"/>
          <w:szCs w:val="22"/>
        </w:rPr>
        <w:t>dengan</w:t>
      </w:r>
      <w:proofErr w:type="spellEnd"/>
      <w:r w:rsidRPr="00B83120">
        <w:rPr>
          <w:color w:val="000000"/>
          <w:sz w:val="22"/>
          <w:szCs w:val="22"/>
        </w:rPr>
        <w:t xml:space="preserve"> </w:t>
      </w:r>
      <w:proofErr w:type="spellStart"/>
      <w:r w:rsidRPr="00B83120">
        <w:rPr>
          <w:color w:val="000000"/>
          <w:sz w:val="22"/>
          <w:szCs w:val="22"/>
        </w:rPr>
        <w:t>reseptor</w:t>
      </w:r>
      <w:proofErr w:type="spellEnd"/>
      <w:r w:rsidR="00C70BE8">
        <w:rPr>
          <w:color w:val="000000"/>
          <w:sz w:val="22"/>
          <w:szCs w:val="22"/>
        </w:rPr>
        <w:t xml:space="preserve"> </w:t>
      </w:r>
      <w:r w:rsidR="00C70BE8">
        <w:rPr>
          <w:color w:val="000000"/>
          <w:sz w:val="22"/>
          <w:szCs w:val="22"/>
        </w:rPr>
        <w:fldChar w:fldCharType="begin" w:fldLock="1"/>
      </w:r>
      <w:r w:rsidR="00066D02">
        <w:rPr>
          <w:color w:val="000000"/>
          <w:sz w:val="22"/>
          <w:szCs w:val="22"/>
        </w:rPr>
        <w:instrText>ADDIN CSL_CITATION {"citationItems":[{"id":"ITEM-1","itemData":{"DOI":"10.3390/molecules23051038","ISSN":"14203049","PMID":"29710787","abstract":"Molecular docking is the most frequently used computational method for studying the interactions between organic molecules and biological macromolecules. In this context, docking allows predicting the preferred pose of a ligand inside a receptor binding site. However, the selection of the “best” solution is not a trivial task, despite the widely accepted selection criterion that the best pose corresponds to the best energy score. Here, several rigid-target docking methods were evaluated on the same dataset with respect to their ability to reproduce crystallographic binding orientations, to test if the best energy score is a reliable criterion for selecting the best solution. For this, two experiments were performed: (A) to reconstruct the ligand-receptor complex by performing docking of the ligand in its own crystal structure receptor (defined as self-docking), and (B) to reconstruct the ligand-receptor complex by performing docking of the ligand in a crystal structure receptor that contains other ligand (defined as cross-docking). Root-mean square deviation (RMSD) was used to evaluate how different the obtained docking orientation is from the corresponding co-crystallized pose of the same ligand molecule. We found that docking score function is capable of predicting crystallographic binding orientations, but the best ranked solution according to the docking energy is not always the pose that reproduces the experimental binding orientation. This happened when self-docking was achieved, but it was critical in cross-docking. Taking into account that docking is typically used with predictive purposes, during cross-docking experiments, our results indicate that the best energy score is not a reliable criterion to select the best solution in common docking applications. It is strongly recommended to choose the best docking solution according to the scoring function along with additional structural criteria described for analogue ligands to assure the selection of a correct docking solution.","author":[{"dropping-particle":"","family":"Ramírez","given":"David","non-dropping-particle":"","parse-names":false,"suffix":""},{"dropping-particle":"","family":"Caballero","given":"Julio","non-dropping-particle":"","parse-names":false,"suffix":""}],"container-title":"Molecules","id":"ITEM-1","issue":"5","issued":{"date-parts":[["2018"]]},"page":"1-17","title":"Is It Reliable to Take the Molecular Docking Top Scoring Position as the Best Solution without Considering Available Structural Data?","type":"article-journal","volume":"23"},"uris":["http://www.mendeley.com/documents/?uuid=4eb109f4-25a7-4fb0-8cb1-3dcc12a59f23"]}],"mendeley":{"formattedCitation":"(Ramírez &amp; Caballero, 2018)","plainTextFormattedCitation":"(Ramírez &amp; Caballero, 2018)","previouslyFormattedCitation":"(Ramírez &amp; Caballero, 2018)"},"properties":{"noteIndex":0},"schema":"https://github.com/citation-style-language/schema/raw/master/csl-citation.json"}</w:instrText>
      </w:r>
      <w:r w:rsidR="00C70BE8">
        <w:rPr>
          <w:color w:val="000000"/>
          <w:sz w:val="22"/>
          <w:szCs w:val="22"/>
        </w:rPr>
        <w:fldChar w:fldCharType="separate"/>
      </w:r>
      <w:r w:rsidR="00C70BE8" w:rsidRPr="00C70BE8">
        <w:rPr>
          <w:noProof/>
          <w:color w:val="000000"/>
          <w:sz w:val="22"/>
          <w:szCs w:val="22"/>
        </w:rPr>
        <w:t>(Ramírez &amp; Caballero, 2018)</w:t>
      </w:r>
      <w:r w:rsidR="00C70BE8">
        <w:rPr>
          <w:color w:val="000000"/>
          <w:sz w:val="22"/>
          <w:szCs w:val="22"/>
        </w:rPr>
        <w:fldChar w:fldCharType="end"/>
      </w:r>
      <w:r w:rsidRPr="00B83120">
        <w:rPr>
          <w:color w:val="000000"/>
          <w:sz w:val="22"/>
          <w:szCs w:val="22"/>
        </w:rPr>
        <w:t xml:space="preserve">. Dalam </w:t>
      </w:r>
      <w:proofErr w:type="spellStart"/>
      <w:r w:rsidRPr="00B83120">
        <w:rPr>
          <w:color w:val="000000"/>
          <w:sz w:val="22"/>
          <w:szCs w:val="22"/>
        </w:rPr>
        <w:t>hal</w:t>
      </w:r>
      <w:proofErr w:type="spellEnd"/>
      <w:r w:rsidRPr="00B83120">
        <w:rPr>
          <w:color w:val="000000"/>
          <w:sz w:val="22"/>
          <w:szCs w:val="22"/>
        </w:rPr>
        <w:t xml:space="preserve"> </w:t>
      </w:r>
      <w:proofErr w:type="spellStart"/>
      <w:r w:rsidRPr="00B83120">
        <w:rPr>
          <w:color w:val="000000"/>
          <w:sz w:val="22"/>
          <w:szCs w:val="22"/>
        </w:rPr>
        <w:t>ini</w:t>
      </w:r>
      <w:proofErr w:type="spellEnd"/>
      <w:r w:rsidRPr="00B83120">
        <w:rPr>
          <w:color w:val="000000"/>
          <w:sz w:val="22"/>
          <w:szCs w:val="22"/>
        </w:rPr>
        <w:t xml:space="preserve">, </w:t>
      </w:r>
      <w:r w:rsidRPr="00B83120">
        <w:rPr>
          <w:i/>
          <w:iCs/>
          <w:color w:val="000000"/>
          <w:sz w:val="22"/>
          <w:szCs w:val="22"/>
        </w:rPr>
        <w:t>native ligand</w:t>
      </w:r>
      <w:r w:rsidRPr="00B83120">
        <w:rPr>
          <w:color w:val="000000"/>
          <w:sz w:val="22"/>
          <w:szCs w:val="22"/>
        </w:rPr>
        <w:t xml:space="preserve"> </w:t>
      </w:r>
      <w:proofErr w:type="spellStart"/>
      <w:r w:rsidRPr="00B83120">
        <w:rPr>
          <w:color w:val="000000"/>
          <w:sz w:val="22"/>
          <w:szCs w:val="22"/>
        </w:rPr>
        <w:t>menunjukkan</w:t>
      </w:r>
      <w:proofErr w:type="spellEnd"/>
      <w:r w:rsidRPr="00B83120">
        <w:rPr>
          <w:color w:val="000000"/>
          <w:sz w:val="22"/>
          <w:szCs w:val="22"/>
        </w:rPr>
        <w:t xml:space="preserve"> </w:t>
      </w:r>
      <w:proofErr w:type="spellStart"/>
      <w:r w:rsidRPr="00B83120">
        <w:rPr>
          <w:color w:val="000000"/>
          <w:sz w:val="22"/>
          <w:szCs w:val="22"/>
        </w:rPr>
        <w:t>afinitas</w:t>
      </w:r>
      <w:proofErr w:type="spellEnd"/>
      <w:r w:rsidRPr="00B83120">
        <w:rPr>
          <w:color w:val="000000"/>
          <w:sz w:val="22"/>
          <w:szCs w:val="22"/>
        </w:rPr>
        <w:t xml:space="preserve"> yang </w:t>
      </w:r>
      <w:proofErr w:type="spellStart"/>
      <w:r w:rsidRPr="00B83120">
        <w:rPr>
          <w:color w:val="000000"/>
          <w:sz w:val="22"/>
          <w:szCs w:val="22"/>
        </w:rPr>
        <w:t>sedikit</w:t>
      </w:r>
      <w:proofErr w:type="spellEnd"/>
      <w:r w:rsidRPr="00B83120">
        <w:rPr>
          <w:color w:val="000000"/>
          <w:sz w:val="22"/>
          <w:szCs w:val="22"/>
        </w:rPr>
        <w:t xml:space="preserve"> </w:t>
      </w:r>
      <w:proofErr w:type="spellStart"/>
      <w:r w:rsidRPr="00B83120">
        <w:rPr>
          <w:color w:val="000000"/>
          <w:sz w:val="22"/>
          <w:szCs w:val="22"/>
        </w:rPr>
        <w:t>lebih</w:t>
      </w:r>
      <w:proofErr w:type="spellEnd"/>
      <w:r w:rsidRPr="00B83120">
        <w:rPr>
          <w:color w:val="000000"/>
          <w:sz w:val="22"/>
          <w:szCs w:val="22"/>
        </w:rPr>
        <w:t xml:space="preserve"> </w:t>
      </w:r>
      <w:proofErr w:type="spellStart"/>
      <w:r w:rsidRPr="00B83120">
        <w:rPr>
          <w:color w:val="000000"/>
          <w:sz w:val="22"/>
          <w:szCs w:val="22"/>
        </w:rPr>
        <w:t>tinggi</w:t>
      </w:r>
      <w:proofErr w:type="spellEnd"/>
      <w:r w:rsidRPr="00B83120">
        <w:rPr>
          <w:color w:val="000000"/>
          <w:sz w:val="22"/>
          <w:szCs w:val="22"/>
        </w:rPr>
        <w:t xml:space="preserve"> </w:t>
      </w:r>
      <w:proofErr w:type="spellStart"/>
      <w:r w:rsidRPr="00B83120">
        <w:rPr>
          <w:color w:val="000000"/>
          <w:sz w:val="22"/>
          <w:szCs w:val="22"/>
        </w:rPr>
        <w:t>dibandingkan</w:t>
      </w:r>
      <w:proofErr w:type="spellEnd"/>
      <w:r w:rsidRPr="00B83120">
        <w:rPr>
          <w:color w:val="000000"/>
          <w:sz w:val="22"/>
          <w:szCs w:val="22"/>
        </w:rPr>
        <w:t xml:space="preserve"> </w:t>
      </w:r>
      <w:proofErr w:type="spellStart"/>
      <w:r w:rsidRPr="00B83120">
        <w:rPr>
          <w:color w:val="000000"/>
          <w:sz w:val="22"/>
          <w:szCs w:val="22"/>
        </w:rPr>
        <w:t>ircinianin</w:t>
      </w:r>
      <w:proofErr w:type="spellEnd"/>
      <w:r w:rsidRPr="00B83120">
        <w:rPr>
          <w:color w:val="000000"/>
          <w:sz w:val="22"/>
          <w:szCs w:val="22"/>
        </w:rPr>
        <w:t xml:space="preserve">, </w:t>
      </w:r>
      <w:proofErr w:type="spellStart"/>
      <w:r w:rsidRPr="00B83120">
        <w:rPr>
          <w:color w:val="000000"/>
          <w:sz w:val="22"/>
          <w:szCs w:val="22"/>
        </w:rPr>
        <w:t>meskipun</w:t>
      </w:r>
      <w:proofErr w:type="spellEnd"/>
      <w:r w:rsidRPr="00B83120">
        <w:rPr>
          <w:color w:val="000000"/>
          <w:sz w:val="22"/>
          <w:szCs w:val="22"/>
        </w:rPr>
        <w:t xml:space="preserve"> </w:t>
      </w:r>
      <w:proofErr w:type="spellStart"/>
      <w:r w:rsidRPr="00B83120">
        <w:rPr>
          <w:color w:val="000000"/>
          <w:sz w:val="22"/>
          <w:szCs w:val="22"/>
        </w:rPr>
        <w:t>selisih</w:t>
      </w:r>
      <w:proofErr w:type="spellEnd"/>
      <w:r w:rsidRPr="00B83120">
        <w:rPr>
          <w:color w:val="000000"/>
          <w:sz w:val="22"/>
          <w:szCs w:val="22"/>
        </w:rPr>
        <w:t xml:space="preserve"> </w:t>
      </w:r>
      <w:proofErr w:type="spellStart"/>
      <w:r w:rsidRPr="00B83120">
        <w:rPr>
          <w:color w:val="000000"/>
          <w:sz w:val="22"/>
          <w:szCs w:val="22"/>
        </w:rPr>
        <w:t>energi</w:t>
      </w:r>
      <w:proofErr w:type="spellEnd"/>
      <w:r w:rsidRPr="00B83120">
        <w:rPr>
          <w:color w:val="000000"/>
          <w:sz w:val="22"/>
          <w:szCs w:val="22"/>
        </w:rPr>
        <w:t xml:space="preserve"> </w:t>
      </w:r>
      <w:proofErr w:type="spellStart"/>
      <w:r w:rsidRPr="00B83120">
        <w:rPr>
          <w:color w:val="000000"/>
          <w:sz w:val="22"/>
          <w:szCs w:val="22"/>
        </w:rPr>
        <w:t>ikatan</w:t>
      </w:r>
      <w:proofErr w:type="spellEnd"/>
      <w:r w:rsidRPr="00B83120">
        <w:rPr>
          <w:color w:val="000000"/>
          <w:sz w:val="22"/>
          <w:szCs w:val="22"/>
        </w:rPr>
        <w:t xml:space="preserve"> </w:t>
      </w:r>
      <w:proofErr w:type="spellStart"/>
      <w:r w:rsidRPr="00B83120">
        <w:rPr>
          <w:color w:val="000000"/>
          <w:sz w:val="22"/>
          <w:szCs w:val="22"/>
        </w:rPr>
        <w:t>relatif</w:t>
      </w:r>
      <w:proofErr w:type="spellEnd"/>
      <w:r w:rsidRPr="00B83120">
        <w:rPr>
          <w:color w:val="000000"/>
          <w:sz w:val="22"/>
          <w:szCs w:val="22"/>
        </w:rPr>
        <w:t xml:space="preserve"> </w:t>
      </w:r>
      <w:proofErr w:type="spellStart"/>
      <w:r w:rsidRPr="00B83120">
        <w:rPr>
          <w:color w:val="000000"/>
          <w:sz w:val="22"/>
          <w:szCs w:val="22"/>
        </w:rPr>
        <w:t>kecil</w:t>
      </w:r>
      <w:proofErr w:type="spellEnd"/>
      <w:r w:rsidRPr="00B83120">
        <w:rPr>
          <w:color w:val="000000"/>
          <w:sz w:val="22"/>
          <w:szCs w:val="22"/>
        </w:rPr>
        <w:t>.</w:t>
      </w:r>
      <w:r>
        <w:rPr>
          <w:color w:val="000000"/>
          <w:sz w:val="22"/>
          <w:szCs w:val="22"/>
        </w:rPr>
        <w:t xml:space="preserve"> </w:t>
      </w:r>
      <w:r w:rsidRPr="00B83120">
        <w:rPr>
          <w:color w:val="000000"/>
          <w:sz w:val="22"/>
          <w:szCs w:val="22"/>
        </w:rPr>
        <w:t xml:space="preserve">Hasil </w:t>
      </w:r>
      <w:proofErr w:type="spellStart"/>
      <w:r w:rsidRPr="00B83120">
        <w:rPr>
          <w:color w:val="000000"/>
          <w:sz w:val="22"/>
          <w:szCs w:val="22"/>
        </w:rPr>
        <w:t>ini</w:t>
      </w:r>
      <w:proofErr w:type="spellEnd"/>
      <w:r w:rsidRPr="00B83120">
        <w:rPr>
          <w:color w:val="000000"/>
          <w:sz w:val="22"/>
          <w:szCs w:val="22"/>
        </w:rPr>
        <w:t xml:space="preserve"> </w:t>
      </w:r>
      <w:proofErr w:type="spellStart"/>
      <w:r w:rsidRPr="00B83120">
        <w:rPr>
          <w:color w:val="000000"/>
          <w:sz w:val="22"/>
          <w:szCs w:val="22"/>
        </w:rPr>
        <w:t>menunjukkan</w:t>
      </w:r>
      <w:proofErr w:type="spellEnd"/>
      <w:r w:rsidRPr="00B83120">
        <w:rPr>
          <w:color w:val="000000"/>
          <w:sz w:val="22"/>
          <w:szCs w:val="22"/>
        </w:rPr>
        <w:t xml:space="preserve"> </w:t>
      </w:r>
      <w:proofErr w:type="spellStart"/>
      <w:r w:rsidRPr="00B83120">
        <w:rPr>
          <w:color w:val="000000"/>
          <w:sz w:val="22"/>
          <w:szCs w:val="22"/>
        </w:rPr>
        <w:t>bahwa</w:t>
      </w:r>
      <w:proofErr w:type="spellEnd"/>
      <w:r w:rsidRPr="00B83120">
        <w:rPr>
          <w:color w:val="000000"/>
          <w:sz w:val="22"/>
          <w:szCs w:val="22"/>
        </w:rPr>
        <w:t xml:space="preserve"> </w:t>
      </w:r>
      <w:proofErr w:type="spellStart"/>
      <w:r w:rsidRPr="00B83120">
        <w:rPr>
          <w:color w:val="000000"/>
          <w:sz w:val="22"/>
          <w:szCs w:val="22"/>
        </w:rPr>
        <w:t>ircinianin</w:t>
      </w:r>
      <w:proofErr w:type="spellEnd"/>
      <w:r w:rsidRPr="00B83120">
        <w:rPr>
          <w:color w:val="000000"/>
          <w:sz w:val="22"/>
          <w:szCs w:val="22"/>
        </w:rPr>
        <w:t xml:space="preserve"> </w:t>
      </w:r>
      <w:proofErr w:type="spellStart"/>
      <w:r w:rsidRPr="00B83120">
        <w:rPr>
          <w:color w:val="000000"/>
          <w:sz w:val="22"/>
          <w:szCs w:val="22"/>
        </w:rPr>
        <w:t>memiliki</w:t>
      </w:r>
      <w:proofErr w:type="spellEnd"/>
      <w:r w:rsidRPr="00B83120">
        <w:rPr>
          <w:color w:val="000000"/>
          <w:sz w:val="22"/>
          <w:szCs w:val="22"/>
        </w:rPr>
        <w:t xml:space="preserve"> </w:t>
      </w:r>
      <w:proofErr w:type="spellStart"/>
      <w:r w:rsidRPr="00B83120">
        <w:rPr>
          <w:color w:val="000000"/>
          <w:sz w:val="22"/>
          <w:szCs w:val="22"/>
        </w:rPr>
        <w:t>potensi</w:t>
      </w:r>
      <w:proofErr w:type="spellEnd"/>
      <w:r w:rsidRPr="00B83120">
        <w:rPr>
          <w:color w:val="000000"/>
          <w:sz w:val="22"/>
          <w:szCs w:val="22"/>
        </w:rPr>
        <w:t xml:space="preserve"> </w:t>
      </w:r>
      <w:proofErr w:type="spellStart"/>
      <w:r w:rsidRPr="00B83120">
        <w:rPr>
          <w:color w:val="000000"/>
          <w:sz w:val="22"/>
          <w:szCs w:val="22"/>
        </w:rPr>
        <w:t>sebagai</w:t>
      </w:r>
      <w:proofErr w:type="spellEnd"/>
      <w:r w:rsidRPr="00B83120">
        <w:rPr>
          <w:color w:val="000000"/>
          <w:sz w:val="22"/>
          <w:szCs w:val="22"/>
        </w:rPr>
        <w:t xml:space="preserve"> inhibitor SGLT-2, </w:t>
      </w:r>
      <w:proofErr w:type="spellStart"/>
      <w:r w:rsidRPr="00B83120">
        <w:rPr>
          <w:color w:val="000000"/>
          <w:sz w:val="22"/>
          <w:szCs w:val="22"/>
        </w:rPr>
        <w:t>dengan</w:t>
      </w:r>
      <w:proofErr w:type="spellEnd"/>
      <w:r w:rsidRPr="00B83120">
        <w:rPr>
          <w:color w:val="000000"/>
          <w:sz w:val="22"/>
          <w:szCs w:val="22"/>
        </w:rPr>
        <w:t xml:space="preserve"> </w:t>
      </w:r>
      <w:proofErr w:type="spellStart"/>
      <w:r w:rsidRPr="00B83120">
        <w:rPr>
          <w:color w:val="000000"/>
          <w:sz w:val="22"/>
          <w:szCs w:val="22"/>
        </w:rPr>
        <w:t>kemampuan</w:t>
      </w:r>
      <w:proofErr w:type="spellEnd"/>
      <w:r w:rsidRPr="00B83120">
        <w:rPr>
          <w:color w:val="000000"/>
          <w:sz w:val="22"/>
          <w:szCs w:val="22"/>
        </w:rPr>
        <w:t xml:space="preserve"> </w:t>
      </w:r>
      <w:proofErr w:type="spellStart"/>
      <w:r w:rsidRPr="00B83120">
        <w:rPr>
          <w:color w:val="000000"/>
          <w:sz w:val="22"/>
          <w:szCs w:val="22"/>
        </w:rPr>
        <w:t>interaksi</w:t>
      </w:r>
      <w:proofErr w:type="spellEnd"/>
      <w:r w:rsidRPr="00B83120">
        <w:rPr>
          <w:color w:val="000000"/>
          <w:sz w:val="22"/>
          <w:szCs w:val="22"/>
        </w:rPr>
        <w:t xml:space="preserve"> yang </w:t>
      </w:r>
      <w:proofErr w:type="spellStart"/>
      <w:r w:rsidRPr="00B83120">
        <w:rPr>
          <w:color w:val="000000"/>
          <w:sz w:val="22"/>
          <w:szCs w:val="22"/>
        </w:rPr>
        <w:t>hampir</w:t>
      </w:r>
      <w:proofErr w:type="spellEnd"/>
      <w:r w:rsidRPr="00B83120">
        <w:rPr>
          <w:color w:val="000000"/>
          <w:sz w:val="22"/>
          <w:szCs w:val="22"/>
        </w:rPr>
        <w:t xml:space="preserve"> </w:t>
      </w:r>
      <w:proofErr w:type="spellStart"/>
      <w:r w:rsidRPr="00B83120">
        <w:rPr>
          <w:color w:val="000000"/>
          <w:sz w:val="22"/>
          <w:szCs w:val="22"/>
        </w:rPr>
        <w:t>mendekati</w:t>
      </w:r>
      <w:proofErr w:type="spellEnd"/>
      <w:r w:rsidRPr="00B83120">
        <w:rPr>
          <w:color w:val="000000"/>
          <w:sz w:val="22"/>
          <w:szCs w:val="22"/>
        </w:rPr>
        <w:t xml:space="preserve"> </w:t>
      </w:r>
      <w:r w:rsidRPr="00B83120">
        <w:rPr>
          <w:i/>
          <w:iCs/>
          <w:color w:val="000000"/>
          <w:sz w:val="22"/>
          <w:szCs w:val="22"/>
        </w:rPr>
        <w:t>native ligand</w:t>
      </w:r>
      <w:r w:rsidRPr="00B83120">
        <w:rPr>
          <w:color w:val="000000"/>
          <w:sz w:val="22"/>
          <w:szCs w:val="22"/>
        </w:rPr>
        <w:t xml:space="preserve">. Hal </w:t>
      </w:r>
      <w:proofErr w:type="spellStart"/>
      <w:r w:rsidRPr="00B83120">
        <w:rPr>
          <w:color w:val="000000"/>
          <w:sz w:val="22"/>
          <w:szCs w:val="22"/>
        </w:rPr>
        <w:t>ini</w:t>
      </w:r>
      <w:proofErr w:type="spellEnd"/>
      <w:r w:rsidRPr="00B83120">
        <w:rPr>
          <w:color w:val="000000"/>
          <w:sz w:val="22"/>
          <w:szCs w:val="22"/>
        </w:rPr>
        <w:t xml:space="preserve"> </w:t>
      </w:r>
      <w:proofErr w:type="spellStart"/>
      <w:r w:rsidRPr="00B83120">
        <w:rPr>
          <w:color w:val="000000"/>
          <w:sz w:val="22"/>
          <w:szCs w:val="22"/>
        </w:rPr>
        <w:t>mendukung</w:t>
      </w:r>
      <w:proofErr w:type="spellEnd"/>
      <w:r w:rsidRPr="00B83120">
        <w:rPr>
          <w:color w:val="000000"/>
          <w:sz w:val="22"/>
          <w:szCs w:val="22"/>
        </w:rPr>
        <w:t xml:space="preserve"> </w:t>
      </w:r>
      <w:proofErr w:type="spellStart"/>
      <w:r w:rsidRPr="00B83120">
        <w:rPr>
          <w:color w:val="000000"/>
          <w:sz w:val="22"/>
          <w:szCs w:val="22"/>
        </w:rPr>
        <w:t>eksplorasi</w:t>
      </w:r>
      <w:proofErr w:type="spellEnd"/>
      <w:r w:rsidRPr="00B83120">
        <w:rPr>
          <w:color w:val="000000"/>
          <w:sz w:val="22"/>
          <w:szCs w:val="22"/>
        </w:rPr>
        <w:t xml:space="preserve"> </w:t>
      </w:r>
      <w:proofErr w:type="spellStart"/>
      <w:r w:rsidRPr="00B83120">
        <w:rPr>
          <w:color w:val="000000"/>
          <w:sz w:val="22"/>
          <w:szCs w:val="22"/>
        </w:rPr>
        <w:t>lebih</w:t>
      </w:r>
      <w:proofErr w:type="spellEnd"/>
      <w:r w:rsidRPr="00B83120">
        <w:rPr>
          <w:color w:val="000000"/>
          <w:sz w:val="22"/>
          <w:szCs w:val="22"/>
        </w:rPr>
        <w:t xml:space="preserve"> </w:t>
      </w:r>
      <w:proofErr w:type="spellStart"/>
      <w:r w:rsidRPr="00B83120">
        <w:rPr>
          <w:color w:val="000000"/>
          <w:sz w:val="22"/>
          <w:szCs w:val="22"/>
        </w:rPr>
        <w:t>lanjut</w:t>
      </w:r>
      <w:proofErr w:type="spellEnd"/>
      <w:r w:rsidRPr="00B83120">
        <w:rPr>
          <w:color w:val="000000"/>
          <w:sz w:val="22"/>
          <w:szCs w:val="22"/>
        </w:rPr>
        <w:t xml:space="preserve"> </w:t>
      </w:r>
      <w:proofErr w:type="spellStart"/>
      <w:r w:rsidRPr="00B83120">
        <w:rPr>
          <w:color w:val="000000"/>
          <w:sz w:val="22"/>
          <w:szCs w:val="22"/>
        </w:rPr>
        <w:t>terhadap</w:t>
      </w:r>
      <w:proofErr w:type="spellEnd"/>
      <w:r w:rsidRPr="00B83120">
        <w:rPr>
          <w:color w:val="000000"/>
          <w:sz w:val="22"/>
          <w:szCs w:val="22"/>
        </w:rPr>
        <w:t xml:space="preserve"> </w:t>
      </w:r>
      <w:proofErr w:type="spellStart"/>
      <w:r w:rsidRPr="00B83120">
        <w:rPr>
          <w:color w:val="000000"/>
          <w:sz w:val="22"/>
          <w:szCs w:val="22"/>
        </w:rPr>
        <w:t>ircinianin</w:t>
      </w:r>
      <w:proofErr w:type="spellEnd"/>
      <w:r w:rsidRPr="00B83120">
        <w:rPr>
          <w:color w:val="000000"/>
          <w:sz w:val="22"/>
          <w:szCs w:val="22"/>
        </w:rPr>
        <w:t xml:space="preserve">, </w:t>
      </w:r>
      <w:proofErr w:type="spellStart"/>
      <w:r w:rsidRPr="00B83120">
        <w:rPr>
          <w:color w:val="000000"/>
          <w:sz w:val="22"/>
          <w:szCs w:val="22"/>
        </w:rPr>
        <w:t>baik</w:t>
      </w:r>
      <w:proofErr w:type="spellEnd"/>
      <w:r w:rsidRPr="00B83120">
        <w:rPr>
          <w:color w:val="000000"/>
          <w:sz w:val="22"/>
          <w:szCs w:val="22"/>
        </w:rPr>
        <w:t xml:space="preserve"> </w:t>
      </w:r>
      <w:proofErr w:type="spellStart"/>
      <w:r w:rsidRPr="00B83120">
        <w:rPr>
          <w:color w:val="000000"/>
          <w:sz w:val="22"/>
          <w:szCs w:val="22"/>
        </w:rPr>
        <w:t>melalui</w:t>
      </w:r>
      <w:proofErr w:type="spellEnd"/>
      <w:r w:rsidRPr="00B83120">
        <w:rPr>
          <w:color w:val="000000"/>
          <w:sz w:val="22"/>
          <w:szCs w:val="22"/>
        </w:rPr>
        <w:t xml:space="preserve"> </w:t>
      </w:r>
      <w:proofErr w:type="spellStart"/>
      <w:r w:rsidRPr="00B83120">
        <w:rPr>
          <w:color w:val="000000"/>
          <w:sz w:val="22"/>
          <w:szCs w:val="22"/>
        </w:rPr>
        <w:lastRenderedPageBreak/>
        <w:t>optimasi</w:t>
      </w:r>
      <w:proofErr w:type="spellEnd"/>
      <w:r w:rsidRPr="00B83120">
        <w:rPr>
          <w:color w:val="000000"/>
          <w:sz w:val="22"/>
          <w:szCs w:val="22"/>
        </w:rPr>
        <w:t xml:space="preserve"> </w:t>
      </w:r>
      <w:proofErr w:type="spellStart"/>
      <w:r w:rsidRPr="00B83120">
        <w:rPr>
          <w:color w:val="000000"/>
          <w:sz w:val="22"/>
          <w:szCs w:val="22"/>
        </w:rPr>
        <w:t>struktur</w:t>
      </w:r>
      <w:proofErr w:type="spellEnd"/>
      <w:r w:rsidRPr="00B83120">
        <w:rPr>
          <w:color w:val="000000"/>
          <w:sz w:val="22"/>
          <w:szCs w:val="22"/>
        </w:rPr>
        <w:t xml:space="preserve"> </w:t>
      </w:r>
      <w:proofErr w:type="spellStart"/>
      <w:r w:rsidRPr="00B83120">
        <w:rPr>
          <w:color w:val="000000"/>
          <w:sz w:val="22"/>
          <w:szCs w:val="22"/>
        </w:rPr>
        <w:t>secara</w:t>
      </w:r>
      <w:proofErr w:type="spellEnd"/>
      <w:r w:rsidRPr="00B83120">
        <w:rPr>
          <w:color w:val="000000"/>
          <w:sz w:val="22"/>
          <w:szCs w:val="22"/>
        </w:rPr>
        <w:t xml:space="preserve"> </w:t>
      </w:r>
      <w:r w:rsidRPr="00B83120">
        <w:rPr>
          <w:i/>
          <w:iCs/>
          <w:color w:val="000000"/>
          <w:sz w:val="22"/>
          <w:szCs w:val="22"/>
        </w:rPr>
        <w:t>in silico</w:t>
      </w:r>
      <w:r w:rsidRPr="00B83120">
        <w:rPr>
          <w:color w:val="000000"/>
          <w:sz w:val="22"/>
          <w:szCs w:val="22"/>
        </w:rPr>
        <w:t xml:space="preserve"> </w:t>
      </w:r>
      <w:proofErr w:type="spellStart"/>
      <w:r w:rsidRPr="00B83120">
        <w:rPr>
          <w:color w:val="000000"/>
          <w:sz w:val="22"/>
          <w:szCs w:val="22"/>
        </w:rPr>
        <w:t>maupun</w:t>
      </w:r>
      <w:proofErr w:type="spellEnd"/>
      <w:r w:rsidRPr="00B83120">
        <w:rPr>
          <w:color w:val="000000"/>
          <w:sz w:val="22"/>
          <w:szCs w:val="22"/>
        </w:rPr>
        <w:t xml:space="preserve"> </w:t>
      </w:r>
      <w:proofErr w:type="spellStart"/>
      <w:r w:rsidRPr="00B83120">
        <w:rPr>
          <w:color w:val="000000"/>
          <w:sz w:val="22"/>
          <w:szCs w:val="22"/>
        </w:rPr>
        <w:t>validasi</w:t>
      </w:r>
      <w:proofErr w:type="spellEnd"/>
      <w:r w:rsidRPr="00B83120">
        <w:rPr>
          <w:color w:val="000000"/>
          <w:sz w:val="22"/>
          <w:szCs w:val="22"/>
        </w:rPr>
        <w:t xml:space="preserve"> </w:t>
      </w:r>
      <w:proofErr w:type="spellStart"/>
      <w:r w:rsidRPr="00B83120">
        <w:rPr>
          <w:color w:val="000000"/>
          <w:sz w:val="22"/>
          <w:szCs w:val="22"/>
        </w:rPr>
        <w:t>eksperimental</w:t>
      </w:r>
      <w:proofErr w:type="spellEnd"/>
      <w:r w:rsidRPr="00B83120">
        <w:rPr>
          <w:color w:val="000000"/>
          <w:sz w:val="22"/>
          <w:szCs w:val="22"/>
        </w:rPr>
        <w:t xml:space="preserve"> </w:t>
      </w:r>
      <w:proofErr w:type="spellStart"/>
      <w:r w:rsidRPr="00B83120">
        <w:rPr>
          <w:color w:val="000000"/>
          <w:sz w:val="22"/>
          <w:szCs w:val="22"/>
        </w:rPr>
        <w:t>untuk</w:t>
      </w:r>
      <w:proofErr w:type="spellEnd"/>
      <w:r w:rsidRPr="00B83120">
        <w:rPr>
          <w:color w:val="000000"/>
          <w:sz w:val="22"/>
          <w:szCs w:val="22"/>
        </w:rPr>
        <w:t xml:space="preserve"> </w:t>
      </w:r>
      <w:proofErr w:type="spellStart"/>
      <w:r w:rsidRPr="00B83120">
        <w:rPr>
          <w:color w:val="000000"/>
          <w:sz w:val="22"/>
          <w:szCs w:val="22"/>
        </w:rPr>
        <w:t>meningkatkan</w:t>
      </w:r>
      <w:proofErr w:type="spellEnd"/>
      <w:r w:rsidRPr="00B83120">
        <w:rPr>
          <w:color w:val="000000"/>
          <w:sz w:val="22"/>
          <w:szCs w:val="22"/>
        </w:rPr>
        <w:t xml:space="preserve"> </w:t>
      </w:r>
      <w:proofErr w:type="spellStart"/>
      <w:r w:rsidRPr="00B83120">
        <w:rPr>
          <w:color w:val="000000"/>
          <w:sz w:val="22"/>
          <w:szCs w:val="22"/>
        </w:rPr>
        <w:t>afinitas</w:t>
      </w:r>
      <w:proofErr w:type="spellEnd"/>
      <w:r w:rsidRPr="00B83120">
        <w:rPr>
          <w:color w:val="000000"/>
          <w:sz w:val="22"/>
          <w:szCs w:val="22"/>
        </w:rPr>
        <w:t xml:space="preserve"> dan </w:t>
      </w:r>
      <w:proofErr w:type="spellStart"/>
      <w:r w:rsidRPr="00B83120">
        <w:rPr>
          <w:color w:val="000000"/>
          <w:sz w:val="22"/>
          <w:szCs w:val="22"/>
        </w:rPr>
        <w:t>spesifisitasnya</w:t>
      </w:r>
      <w:proofErr w:type="spellEnd"/>
      <w:r w:rsidRPr="00B83120">
        <w:rPr>
          <w:color w:val="000000"/>
          <w:sz w:val="22"/>
          <w:szCs w:val="22"/>
        </w:rPr>
        <w:t xml:space="preserve"> </w:t>
      </w:r>
      <w:proofErr w:type="spellStart"/>
      <w:r w:rsidRPr="00B83120">
        <w:rPr>
          <w:color w:val="000000"/>
          <w:sz w:val="22"/>
          <w:szCs w:val="22"/>
        </w:rPr>
        <w:t>terhadap</w:t>
      </w:r>
      <w:proofErr w:type="spellEnd"/>
      <w:r w:rsidRPr="00B83120">
        <w:rPr>
          <w:color w:val="000000"/>
          <w:sz w:val="22"/>
          <w:szCs w:val="22"/>
        </w:rPr>
        <w:t xml:space="preserve"> SGLT-2.</w:t>
      </w:r>
    </w:p>
    <w:p w14:paraId="476E8CDB" w14:textId="77777777" w:rsidR="00C4749A" w:rsidRPr="00C4749A" w:rsidRDefault="00C4749A" w:rsidP="00C4749A">
      <w:pPr>
        <w:spacing w:line="360" w:lineRule="auto"/>
        <w:ind w:firstLine="426"/>
        <w:jc w:val="both"/>
        <w:rPr>
          <w:color w:val="000000"/>
          <w:sz w:val="22"/>
          <w:szCs w:val="22"/>
          <w:lang w:val="en-ID"/>
        </w:rPr>
      </w:pPr>
      <w:proofErr w:type="spellStart"/>
      <w:r w:rsidRPr="00C4749A">
        <w:rPr>
          <w:color w:val="000000"/>
          <w:sz w:val="22"/>
          <w:szCs w:val="22"/>
          <w:lang w:val="en-ID"/>
        </w:rPr>
        <w:t>Berdasarkan</w:t>
      </w:r>
      <w:proofErr w:type="spellEnd"/>
      <w:r w:rsidRPr="00C4749A">
        <w:rPr>
          <w:color w:val="000000"/>
          <w:sz w:val="22"/>
          <w:szCs w:val="22"/>
          <w:lang w:val="en-ID"/>
        </w:rPr>
        <w:t xml:space="preserve"> </w:t>
      </w:r>
      <w:proofErr w:type="spellStart"/>
      <w:r w:rsidRPr="00C4749A">
        <w:rPr>
          <w:color w:val="000000"/>
          <w:sz w:val="22"/>
          <w:szCs w:val="22"/>
          <w:lang w:val="en-ID"/>
        </w:rPr>
        <w:t>hasil</w:t>
      </w:r>
      <w:proofErr w:type="spellEnd"/>
      <w:r w:rsidRPr="00C4749A">
        <w:rPr>
          <w:color w:val="000000"/>
          <w:sz w:val="22"/>
          <w:szCs w:val="22"/>
          <w:lang w:val="en-ID"/>
        </w:rPr>
        <w:t xml:space="preserve"> </w:t>
      </w:r>
      <w:proofErr w:type="spellStart"/>
      <w:r w:rsidRPr="00C4749A">
        <w:rPr>
          <w:color w:val="000000"/>
          <w:sz w:val="22"/>
          <w:szCs w:val="22"/>
          <w:lang w:val="en-ID"/>
        </w:rPr>
        <w:t>visualisasi</w:t>
      </w:r>
      <w:proofErr w:type="spellEnd"/>
      <w:r w:rsidRPr="00C4749A">
        <w:rPr>
          <w:color w:val="000000"/>
          <w:sz w:val="22"/>
          <w:szCs w:val="22"/>
          <w:lang w:val="en-ID"/>
        </w:rPr>
        <w:t xml:space="preserve"> pada Gambar 1, </w:t>
      </w:r>
      <w:proofErr w:type="spellStart"/>
      <w:r w:rsidRPr="00C4749A">
        <w:rPr>
          <w:color w:val="000000"/>
          <w:sz w:val="22"/>
          <w:szCs w:val="22"/>
          <w:lang w:val="en-ID"/>
        </w:rPr>
        <w:t>terlihat</w:t>
      </w:r>
      <w:proofErr w:type="spellEnd"/>
      <w:r w:rsidRPr="00C4749A">
        <w:rPr>
          <w:color w:val="000000"/>
          <w:sz w:val="22"/>
          <w:szCs w:val="22"/>
          <w:lang w:val="en-ID"/>
        </w:rPr>
        <w:t xml:space="preserve"> </w:t>
      </w:r>
      <w:proofErr w:type="spellStart"/>
      <w:r w:rsidRPr="00C4749A">
        <w:rPr>
          <w:color w:val="000000"/>
          <w:sz w:val="22"/>
          <w:szCs w:val="22"/>
          <w:lang w:val="en-ID"/>
        </w:rPr>
        <w:t>bahwa</w:t>
      </w:r>
      <w:proofErr w:type="spellEnd"/>
      <w:r w:rsidRPr="00C4749A">
        <w:rPr>
          <w:color w:val="000000"/>
          <w:sz w:val="22"/>
          <w:szCs w:val="22"/>
          <w:lang w:val="en-ID"/>
        </w:rPr>
        <w:t xml:space="preserve"> </w:t>
      </w:r>
      <w:proofErr w:type="spellStart"/>
      <w:r w:rsidRPr="00C4749A">
        <w:rPr>
          <w:color w:val="000000"/>
          <w:sz w:val="22"/>
          <w:szCs w:val="22"/>
          <w:lang w:val="en-ID"/>
        </w:rPr>
        <w:t>baik</w:t>
      </w:r>
      <w:proofErr w:type="spellEnd"/>
      <w:r w:rsidRPr="00C4749A">
        <w:rPr>
          <w:color w:val="000000"/>
          <w:sz w:val="22"/>
          <w:szCs w:val="22"/>
          <w:lang w:val="en-ID"/>
        </w:rPr>
        <w:t xml:space="preserve"> </w:t>
      </w:r>
      <w:r w:rsidRPr="00C4749A">
        <w:rPr>
          <w:i/>
          <w:iCs/>
          <w:color w:val="000000"/>
          <w:sz w:val="22"/>
          <w:szCs w:val="22"/>
          <w:lang w:val="en-ID"/>
        </w:rPr>
        <w:t>native ligand</w:t>
      </w:r>
      <w:r w:rsidRPr="00C4749A">
        <w:rPr>
          <w:color w:val="000000"/>
          <w:sz w:val="22"/>
          <w:szCs w:val="22"/>
          <w:lang w:val="en-ID"/>
        </w:rPr>
        <w:t xml:space="preserve"> </w:t>
      </w:r>
      <w:proofErr w:type="spellStart"/>
      <w:r w:rsidRPr="00C4749A">
        <w:rPr>
          <w:color w:val="000000"/>
          <w:sz w:val="22"/>
          <w:szCs w:val="22"/>
          <w:lang w:val="en-ID"/>
        </w:rPr>
        <w:t>maupun</w:t>
      </w:r>
      <w:proofErr w:type="spellEnd"/>
      <w:r w:rsidRPr="00C4749A">
        <w:rPr>
          <w:color w:val="000000"/>
          <w:sz w:val="22"/>
          <w:szCs w:val="22"/>
          <w:lang w:val="en-ID"/>
        </w:rPr>
        <w:t xml:space="preserve"> </w:t>
      </w:r>
      <w:proofErr w:type="spellStart"/>
      <w:r w:rsidRPr="00C4749A">
        <w:rPr>
          <w:color w:val="000000"/>
          <w:sz w:val="22"/>
          <w:szCs w:val="22"/>
          <w:lang w:val="en-ID"/>
        </w:rPr>
        <w:t>ircinianin</w:t>
      </w:r>
      <w:proofErr w:type="spellEnd"/>
      <w:r w:rsidRPr="00C4749A">
        <w:rPr>
          <w:color w:val="000000"/>
          <w:sz w:val="22"/>
          <w:szCs w:val="22"/>
          <w:lang w:val="en-ID"/>
        </w:rPr>
        <w:t xml:space="preserve"> </w:t>
      </w:r>
      <w:proofErr w:type="spellStart"/>
      <w:r w:rsidRPr="00C4749A">
        <w:rPr>
          <w:color w:val="000000"/>
          <w:sz w:val="22"/>
          <w:szCs w:val="22"/>
          <w:lang w:val="en-ID"/>
        </w:rPr>
        <w:t>mampu</w:t>
      </w:r>
      <w:proofErr w:type="spellEnd"/>
      <w:r w:rsidRPr="00C4749A">
        <w:rPr>
          <w:color w:val="000000"/>
          <w:sz w:val="22"/>
          <w:szCs w:val="22"/>
          <w:lang w:val="en-ID"/>
        </w:rPr>
        <w:t xml:space="preserve"> </w:t>
      </w:r>
      <w:proofErr w:type="spellStart"/>
      <w:r w:rsidRPr="00C4749A">
        <w:rPr>
          <w:color w:val="000000"/>
          <w:sz w:val="22"/>
          <w:szCs w:val="22"/>
          <w:lang w:val="en-ID"/>
        </w:rPr>
        <w:t>membentuk</w:t>
      </w:r>
      <w:proofErr w:type="spellEnd"/>
      <w:r w:rsidRPr="00C4749A">
        <w:rPr>
          <w:color w:val="000000"/>
          <w:sz w:val="22"/>
          <w:szCs w:val="22"/>
          <w:lang w:val="en-ID"/>
        </w:rPr>
        <w:t xml:space="preserve"> </w:t>
      </w:r>
      <w:proofErr w:type="spellStart"/>
      <w:r w:rsidRPr="00C4749A">
        <w:rPr>
          <w:color w:val="000000"/>
          <w:sz w:val="22"/>
          <w:szCs w:val="22"/>
          <w:lang w:val="en-ID"/>
        </w:rPr>
        <w:t>interaksi</w:t>
      </w:r>
      <w:proofErr w:type="spellEnd"/>
      <w:r w:rsidRPr="00C4749A">
        <w:rPr>
          <w:color w:val="000000"/>
          <w:sz w:val="22"/>
          <w:szCs w:val="22"/>
          <w:lang w:val="en-ID"/>
        </w:rPr>
        <w:t xml:space="preserve"> </w:t>
      </w:r>
      <w:proofErr w:type="spellStart"/>
      <w:r w:rsidRPr="00C4749A">
        <w:rPr>
          <w:color w:val="000000"/>
          <w:sz w:val="22"/>
          <w:szCs w:val="22"/>
          <w:lang w:val="en-ID"/>
        </w:rPr>
        <w:t>dengan</w:t>
      </w:r>
      <w:proofErr w:type="spellEnd"/>
      <w:r w:rsidRPr="00C4749A">
        <w:rPr>
          <w:color w:val="000000"/>
          <w:sz w:val="22"/>
          <w:szCs w:val="22"/>
          <w:lang w:val="en-ID"/>
        </w:rPr>
        <w:t xml:space="preserve"> </w:t>
      </w:r>
      <w:proofErr w:type="spellStart"/>
      <w:r w:rsidRPr="00C4749A">
        <w:rPr>
          <w:color w:val="000000"/>
          <w:sz w:val="22"/>
          <w:szCs w:val="22"/>
          <w:lang w:val="en-ID"/>
        </w:rPr>
        <w:t>residu</w:t>
      </w:r>
      <w:proofErr w:type="spellEnd"/>
      <w:r w:rsidRPr="00C4749A">
        <w:rPr>
          <w:color w:val="000000"/>
          <w:sz w:val="22"/>
          <w:szCs w:val="22"/>
          <w:lang w:val="en-ID"/>
        </w:rPr>
        <w:t xml:space="preserve"> </w:t>
      </w:r>
      <w:proofErr w:type="spellStart"/>
      <w:r w:rsidRPr="00C4749A">
        <w:rPr>
          <w:color w:val="000000"/>
          <w:sz w:val="22"/>
          <w:szCs w:val="22"/>
          <w:lang w:val="en-ID"/>
        </w:rPr>
        <w:t>kunci</w:t>
      </w:r>
      <w:proofErr w:type="spellEnd"/>
      <w:r w:rsidRPr="00C4749A">
        <w:rPr>
          <w:color w:val="000000"/>
          <w:sz w:val="22"/>
          <w:szCs w:val="22"/>
          <w:lang w:val="en-ID"/>
        </w:rPr>
        <w:t xml:space="preserve"> pada situs </w:t>
      </w:r>
      <w:proofErr w:type="spellStart"/>
      <w:r w:rsidRPr="00C4749A">
        <w:rPr>
          <w:color w:val="000000"/>
          <w:sz w:val="22"/>
          <w:szCs w:val="22"/>
          <w:lang w:val="en-ID"/>
        </w:rPr>
        <w:t>aktif</w:t>
      </w:r>
      <w:proofErr w:type="spellEnd"/>
      <w:r w:rsidRPr="00C4749A">
        <w:rPr>
          <w:color w:val="000000"/>
          <w:sz w:val="22"/>
          <w:szCs w:val="22"/>
          <w:lang w:val="en-ID"/>
        </w:rPr>
        <w:t xml:space="preserve"> protein SGLT-2. </w:t>
      </w:r>
      <w:r w:rsidRPr="00C4749A">
        <w:rPr>
          <w:i/>
          <w:iCs/>
          <w:color w:val="000000"/>
          <w:sz w:val="22"/>
          <w:szCs w:val="22"/>
          <w:lang w:val="en-ID"/>
        </w:rPr>
        <w:t>Native ligand</w:t>
      </w:r>
      <w:r w:rsidRPr="00C4749A">
        <w:rPr>
          <w:color w:val="000000"/>
          <w:sz w:val="22"/>
          <w:szCs w:val="22"/>
          <w:lang w:val="en-ID"/>
        </w:rPr>
        <w:t xml:space="preserve"> </w:t>
      </w:r>
      <w:proofErr w:type="spellStart"/>
      <w:r w:rsidRPr="00C4749A">
        <w:rPr>
          <w:color w:val="000000"/>
          <w:sz w:val="22"/>
          <w:szCs w:val="22"/>
          <w:lang w:val="en-ID"/>
        </w:rPr>
        <w:t>menunjukkan</w:t>
      </w:r>
      <w:proofErr w:type="spellEnd"/>
      <w:r w:rsidRPr="00C4749A">
        <w:rPr>
          <w:color w:val="000000"/>
          <w:sz w:val="22"/>
          <w:szCs w:val="22"/>
          <w:lang w:val="en-ID"/>
        </w:rPr>
        <w:t xml:space="preserve"> </w:t>
      </w:r>
      <w:proofErr w:type="spellStart"/>
      <w:r w:rsidRPr="00C4749A">
        <w:rPr>
          <w:color w:val="000000"/>
          <w:sz w:val="22"/>
          <w:szCs w:val="22"/>
          <w:lang w:val="en-ID"/>
        </w:rPr>
        <w:t>kemampuan</w:t>
      </w:r>
      <w:proofErr w:type="spellEnd"/>
      <w:r w:rsidRPr="00C4749A">
        <w:rPr>
          <w:color w:val="000000"/>
          <w:sz w:val="22"/>
          <w:szCs w:val="22"/>
          <w:lang w:val="en-ID"/>
        </w:rPr>
        <w:t xml:space="preserve"> </w:t>
      </w:r>
      <w:proofErr w:type="spellStart"/>
      <w:r w:rsidRPr="00C4749A">
        <w:rPr>
          <w:color w:val="000000"/>
          <w:sz w:val="22"/>
          <w:szCs w:val="22"/>
          <w:lang w:val="en-ID"/>
        </w:rPr>
        <w:t>untuk</w:t>
      </w:r>
      <w:proofErr w:type="spellEnd"/>
      <w:r w:rsidRPr="00C4749A">
        <w:rPr>
          <w:color w:val="000000"/>
          <w:sz w:val="22"/>
          <w:szCs w:val="22"/>
          <w:lang w:val="en-ID"/>
        </w:rPr>
        <w:t xml:space="preserve"> </w:t>
      </w:r>
      <w:proofErr w:type="spellStart"/>
      <w:r w:rsidRPr="00C4749A">
        <w:rPr>
          <w:color w:val="000000"/>
          <w:sz w:val="22"/>
          <w:szCs w:val="22"/>
          <w:lang w:val="en-ID"/>
        </w:rPr>
        <w:t>membentuk</w:t>
      </w:r>
      <w:proofErr w:type="spellEnd"/>
      <w:r w:rsidRPr="00C4749A">
        <w:rPr>
          <w:color w:val="000000"/>
          <w:sz w:val="22"/>
          <w:szCs w:val="22"/>
          <w:lang w:val="en-ID"/>
        </w:rPr>
        <w:t xml:space="preserve"> </w:t>
      </w:r>
      <w:proofErr w:type="spellStart"/>
      <w:r w:rsidRPr="00C4749A">
        <w:rPr>
          <w:color w:val="000000"/>
          <w:sz w:val="22"/>
          <w:szCs w:val="22"/>
          <w:lang w:val="en-ID"/>
        </w:rPr>
        <w:t>empat</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w:t>
      </w:r>
      <w:proofErr w:type="spellStart"/>
      <w:r w:rsidRPr="00C4749A">
        <w:rPr>
          <w:color w:val="000000"/>
          <w:sz w:val="22"/>
          <w:szCs w:val="22"/>
          <w:lang w:val="en-ID"/>
        </w:rPr>
        <w:t>hidrogen</w:t>
      </w:r>
      <w:proofErr w:type="spellEnd"/>
      <w:r w:rsidRPr="00C4749A">
        <w:rPr>
          <w:color w:val="000000"/>
          <w:sz w:val="22"/>
          <w:szCs w:val="22"/>
          <w:lang w:val="en-ID"/>
        </w:rPr>
        <w:t xml:space="preserve"> </w:t>
      </w:r>
      <w:proofErr w:type="spellStart"/>
      <w:r w:rsidRPr="00C4749A">
        <w:rPr>
          <w:color w:val="000000"/>
          <w:sz w:val="22"/>
          <w:szCs w:val="22"/>
          <w:lang w:val="en-ID"/>
        </w:rPr>
        <w:t>dengan</w:t>
      </w:r>
      <w:proofErr w:type="spellEnd"/>
      <w:r w:rsidRPr="00C4749A">
        <w:rPr>
          <w:color w:val="000000"/>
          <w:sz w:val="22"/>
          <w:szCs w:val="22"/>
          <w:lang w:val="en-ID"/>
        </w:rPr>
        <w:t xml:space="preserve"> </w:t>
      </w:r>
      <w:proofErr w:type="spellStart"/>
      <w:r w:rsidRPr="00C4749A">
        <w:rPr>
          <w:color w:val="000000"/>
          <w:sz w:val="22"/>
          <w:szCs w:val="22"/>
          <w:lang w:val="en-ID"/>
        </w:rPr>
        <w:t>residu</w:t>
      </w:r>
      <w:proofErr w:type="spellEnd"/>
      <w:r w:rsidRPr="00C4749A">
        <w:rPr>
          <w:color w:val="000000"/>
          <w:sz w:val="22"/>
          <w:szCs w:val="22"/>
          <w:lang w:val="en-ID"/>
        </w:rPr>
        <w:t xml:space="preserve"> TRP:129, PHE:98, ASN:75, dan LYS:321. </w:t>
      </w:r>
      <w:proofErr w:type="spellStart"/>
      <w:r w:rsidRPr="00C4749A">
        <w:rPr>
          <w:color w:val="000000"/>
          <w:sz w:val="22"/>
          <w:szCs w:val="22"/>
          <w:lang w:val="en-ID"/>
        </w:rPr>
        <w:t>Keempat</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w:t>
      </w:r>
      <w:proofErr w:type="spellStart"/>
      <w:r w:rsidRPr="00C4749A">
        <w:rPr>
          <w:color w:val="000000"/>
          <w:sz w:val="22"/>
          <w:szCs w:val="22"/>
          <w:lang w:val="en-ID"/>
        </w:rPr>
        <w:t>hidrogen</w:t>
      </w:r>
      <w:proofErr w:type="spellEnd"/>
      <w:r w:rsidRPr="00C4749A">
        <w:rPr>
          <w:color w:val="000000"/>
          <w:sz w:val="22"/>
          <w:szCs w:val="22"/>
          <w:lang w:val="en-ID"/>
        </w:rPr>
        <w:t xml:space="preserve"> </w:t>
      </w:r>
      <w:proofErr w:type="spellStart"/>
      <w:r w:rsidRPr="00C4749A">
        <w:rPr>
          <w:color w:val="000000"/>
          <w:sz w:val="22"/>
          <w:szCs w:val="22"/>
          <w:lang w:val="en-ID"/>
        </w:rPr>
        <w:t>ini</w:t>
      </w:r>
      <w:proofErr w:type="spellEnd"/>
      <w:r w:rsidRPr="00C4749A">
        <w:rPr>
          <w:color w:val="000000"/>
          <w:sz w:val="22"/>
          <w:szCs w:val="22"/>
          <w:lang w:val="en-ID"/>
        </w:rPr>
        <w:t xml:space="preserve"> </w:t>
      </w:r>
      <w:proofErr w:type="spellStart"/>
      <w:r w:rsidRPr="00C4749A">
        <w:rPr>
          <w:color w:val="000000"/>
          <w:sz w:val="22"/>
          <w:szCs w:val="22"/>
          <w:lang w:val="en-ID"/>
        </w:rPr>
        <w:t>memberikan</w:t>
      </w:r>
      <w:proofErr w:type="spellEnd"/>
      <w:r w:rsidRPr="00C4749A">
        <w:rPr>
          <w:color w:val="000000"/>
          <w:sz w:val="22"/>
          <w:szCs w:val="22"/>
          <w:lang w:val="en-ID"/>
        </w:rPr>
        <w:t xml:space="preserve"> </w:t>
      </w:r>
      <w:proofErr w:type="spellStart"/>
      <w:r w:rsidRPr="00C4749A">
        <w:rPr>
          <w:color w:val="000000"/>
          <w:sz w:val="22"/>
          <w:szCs w:val="22"/>
          <w:lang w:val="en-ID"/>
        </w:rPr>
        <w:t>kontribusi</w:t>
      </w:r>
      <w:proofErr w:type="spellEnd"/>
      <w:r w:rsidRPr="00C4749A">
        <w:rPr>
          <w:color w:val="000000"/>
          <w:sz w:val="22"/>
          <w:szCs w:val="22"/>
          <w:lang w:val="en-ID"/>
        </w:rPr>
        <w:t xml:space="preserve"> </w:t>
      </w:r>
      <w:proofErr w:type="spellStart"/>
      <w:r w:rsidRPr="00C4749A">
        <w:rPr>
          <w:color w:val="000000"/>
          <w:sz w:val="22"/>
          <w:szCs w:val="22"/>
          <w:lang w:val="en-ID"/>
        </w:rPr>
        <w:t>signifikan</w:t>
      </w:r>
      <w:proofErr w:type="spellEnd"/>
      <w:r w:rsidRPr="00C4749A">
        <w:rPr>
          <w:color w:val="000000"/>
          <w:sz w:val="22"/>
          <w:szCs w:val="22"/>
          <w:lang w:val="en-ID"/>
        </w:rPr>
        <w:t xml:space="preserve"> </w:t>
      </w:r>
      <w:proofErr w:type="spellStart"/>
      <w:r w:rsidRPr="00C4749A">
        <w:rPr>
          <w:color w:val="000000"/>
          <w:sz w:val="22"/>
          <w:szCs w:val="22"/>
          <w:lang w:val="en-ID"/>
        </w:rPr>
        <w:t>terhadap</w:t>
      </w:r>
      <w:proofErr w:type="spellEnd"/>
      <w:r w:rsidRPr="00C4749A">
        <w:rPr>
          <w:color w:val="000000"/>
          <w:sz w:val="22"/>
          <w:szCs w:val="22"/>
          <w:lang w:val="en-ID"/>
        </w:rPr>
        <w:t xml:space="preserve"> </w:t>
      </w:r>
      <w:proofErr w:type="spellStart"/>
      <w:r w:rsidRPr="00C4749A">
        <w:rPr>
          <w:color w:val="000000"/>
          <w:sz w:val="22"/>
          <w:szCs w:val="22"/>
          <w:lang w:val="en-ID"/>
        </w:rPr>
        <w:t>stabilitas</w:t>
      </w:r>
      <w:proofErr w:type="spellEnd"/>
      <w:r w:rsidRPr="00C4749A">
        <w:rPr>
          <w:color w:val="000000"/>
          <w:sz w:val="22"/>
          <w:szCs w:val="22"/>
          <w:lang w:val="en-ID"/>
        </w:rPr>
        <w:t xml:space="preserve"> </w:t>
      </w:r>
      <w:proofErr w:type="spellStart"/>
      <w:r w:rsidRPr="00C4749A">
        <w:rPr>
          <w:color w:val="000000"/>
          <w:sz w:val="22"/>
          <w:szCs w:val="22"/>
          <w:lang w:val="en-ID"/>
        </w:rPr>
        <w:t>kompleks</w:t>
      </w:r>
      <w:proofErr w:type="spellEnd"/>
      <w:r w:rsidRPr="00C4749A">
        <w:rPr>
          <w:color w:val="000000"/>
          <w:sz w:val="22"/>
          <w:szCs w:val="22"/>
          <w:lang w:val="en-ID"/>
        </w:rPr>
        <w:t xml:space="preserve"> </w:t>
      </w:r>
      <w:r w:rsidRPr="00C4749A">
        <w:rPr>
          <w:i/>
          <w:iCs/>
          <w:color w:val="000000"/>
          <w:sz w:val="22"/>
          <w:szCs w:val="22"/>
          <w:lang w:val="en-ID"/>
        </w:rPr>
        <w:t>native ligand</w:t>
      </w:r>
      <w:r w:rsidRPr="00C4749A">
        <w:rPr>
          <w:color w:val="000000"/>
          <w:sz w:val="22"/>
          <w:szCs w:val="22"/>
          <w:lang w:val="en-ID"/>
        </w:rPr>
        <w:t>-</w:t>
      </w:r>
      <w:proofErr w:type="spellStart"/>
      <w:r w:rsidRPr="00C4749A">
        <w:rPr>
          <w:color w:val="000000"/>
          <w:sz w:val="22"/>
          <w:szCs w:val="22"/>
          <w:lang w:val="en-ID"/>
        </w:rPr>
        <w:t>reseptor</w:t>
      </w:r>
      <w:proofErr w:type="spellEnd"/>
      <w:r w:rsidRPr="00C4749A">
        <w:rPr>
          <w:color w:val="000000"/>
          <w:sz w:val="22"/>
          <w:szCs w:val="22"/>
          <w:lang w:val="en-ID"/>
        </w:rPr>
        <w:t xml:space="preserve">, </w:t>
      </w:r>
      <w:proofErr w:type="spellStart"/>
      <w:r w:rsidRPr="00C4749A">
        <w:rPr>
          <w:color w:val="000000"/>
          <w:sz w:val="22"/>
          <w:szCs w:val="22"/>
          <w:lang w:val="en-ID"/>
        </w:rPr>
        <w:t>sebagaimana</w:t>
      </w:r>
      <w:proofErr w:type="spellEnd"/>
      <w:r w:rsidRPr="00C4749A">
        <w:rPr>
          <w:color w:val="000000"/>
          <w:sz w:val="22"/>
          <w:szCs w:val="22"/>
          <w:lang w:val="en-ID"/>
        </w:rPr>
        <w:t xml:space="preserve"> </w:t>
      </w:r>
      <w:proofErr w:type="spellStart"/>
      <w:r w:rsidRPr="00C4749A">
        <w:rPr>
          <w:color w:val="000000"/>
          <w:sz w:val="22"/>
          <w:szCs w:val="22"/>
          <w:lang w:val="en-ID"/>
        </w:rPr>
        <w:t>tercermin</w:t>
      </w:r>
      <w:proofErr w:type="spellEnd"/>
      <w:r w:rsidRPr="00C4749A">
        <w:rPr>
          <w:color w:val="000000"/>
          <w:sz w:val="22"/>
          <w:szCs w:val="22"/>
          <w:lang w:val="en-ID"/>
        </w:rPr>
        <w:t xml:space="preserve"> </w:t>
      </w:r>
      <w:proofErr w:type="spellStart"/>
      <w:r w:rsidRPr="00C4749A">
        <w:rPr>
          <w:color w:val="000000"/>
          <w:sz w:val="22"/>
          <w:szCs w:val="22"/>
          <w:lang w:val="en-ID"/>
        </w:rPr>
        <w:t>dari</w:t>
      </w:r>
      <w:proofErr w:type="spellEnd"/>
      <w:r w:rsidRPr="00C4749A">
        <w:rPr>
          <w:color w:val="000000"/>
          <w:sz w:val="22"/>
          <w:szCs w:val="22"/>
          <w:lang w:val="en-ID"/>
        </w:rPr>
        <w:t xml:space="preserve"> </w:t>
      </w:r>
      <w:proofErr w:type="spellStart"/>
      <w:r w:rsidRPr="00C4749A">
        <w:rPr>
          <w:color w:val="000000"/>
          <w:sz w:val="22"/>
          <w:szCs w:val="22"/>
          <w:lang w:val="en-ID"/>
        </w:rPr>
        <w:t>nilai</w:t>
      </w:r>
      <w:proofErr w:type="spellEnd"/>
      <w:r w:rsidRPr="00C4749A">
        <w:rPr>
          <w:color w:val="000000"/>
          <w:sz w:val="22"/>
          <w:szCs w:val="22"/>
          <w:lang w:val="en-ID"/>
        </w:rPr>
        <w:t xml:space="preserve"> </w:t>
      </w:r>
      <w:proofErr w:type="spellStart"/>
      <w:r w:rsidRPr="00C4749A">
        <w:rPr>
          <w:color w:val="000000"/>
          <w:sz w:val="22"/>
          <w:szCs w:val="22"/>
          <w:lang w:val="en-ID"/>
        </w:rPr>
        <w:t>energi</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yang </w:t>
      </w:r>
      <w:proofErr w:type="spellStart"/>
      <w:r w:rsidRPr="00C4749A">
        <w:rPr>
          <w:color w:val="000000"/>
          <w:sz w:val="22"/>
          <w:szCs w:val="22"/>
          <w:lang w:val="en-ID"/>
        </w:rPr>
        <w:t>rendah</w:t>
      </w:r>
      <w:proofErr w:type="spellEnd"/>
      <w:r w:rsidRPr="00C4749A">
        <w:rPr>
          <w:color w:val="000000"/>
          <w:sz w:val="22"/>
          <w:szCs w:val="22"/>
          <w:lang w:val="en-ID"/>
        </w:rPr>
        <w:t xml:space="preserve">, </w:t>
      </w:r>
      <w:proofErr w:type="spellStart"/>
      <w:r w:rsidRPr="00C4749A">
        <w:rPr>
          <w:color w:val="000000"/>
          <w:sz w:val="22"/>
          <w:szCs w:val="22"/>
          <w:lang w:val="en-ID"/>
        </w:rPr>
        <w:t>yaitu</w:t>
      </w:r>
      <w:proofErr w:type="spellEnd"/>
      <w:r w:rsidRPr="00C4749A">
        <w:rPr>
          <w:color w:val="000000"/>
          <w:sz w:val="22"/>
          <w:szCs w:val="22"/>
          <w:lang w:val="en-ID"/>
        </w:rPr>
        <w:t xml:space="preserve"> -11,46 kcal/mol.</w:t>
      </w:r>
    </w:p>
    <w:p w14:paraId="771E7569" w14:textId="77777777" w:rsidR="00C4749A" w:rsidRPr="00C4749A" w:rsidRDefault="00C4749A" w:rsidP="00C4749A">
      <w:pPr>
        <w:spacing w:line="360" w:lineRule="auto"/>
        <w:ind w:firstLine="426"/>
        <w:jc w:val="both"/>
        <w:rPr>
          <w:color w:val="000000"/>
          <w:sz w:val="22"/>
          <w:szCs w:val="22"/>
          <w:lang w:val="en-ID"/>
        </w:rPr>
      </w:pPr>
      <w:proofErr w:type="spellStart"/>
      <w:r w:rsidRPr="00C4749A">
        <w:rPr>
          <w:color w:val="000000"/>
          <w:sz w:val="22"/>
          <w:szCs w:val="22"/>
          <w:lang w:val="en-ID"/>
        </w:rPr>
        <w:t>Sementara</w:t>
      </w:r>
      <w:proofErr w:type="spellEnd"/>
      <w:r w:rsidRPr="00C4749A">
        <w:rPr>
          <w:color w:val="000000"/>
          <w:sz w:val="22"/>
          <w:szCs w:val="22"/>
          <w:lang w:val="en-ID"/>
        </w:rPr>
        <w:t xml:space="preserve"> </w:t>
      </w:r>
      <w:proofErr w:type="spellStart"/>
      <w:r w:rsidRPr="00C4749A">
        <w:rPr>
          <w:color w:val="000000"/>
          <w:sz w:val="22"/>
          <w:szCs w:val="22"/>
          <w:lang w:val="en-ID"/>
        </w:rPr>
        <w:t>itu</w:t>
      </w:r>
      <w:proofErr w:type="spellEnd"/>
      <w:r w:rsidRPr="00C4749A">
        <w:rPr>
          <w:color w:val="000000"/>
          <w:sz w:val="22"/>
          <w:szCs w:val="22"/>
          <w:lang w:val="en-ID"/>
        </w:rPr>
        <w:t xml:space="preserve">, </w:t>
      </w:r>
      <w:proofErr w:type="spellStart"/>
      <w:r w:rsidRPr="00C4749A">
        <w:rPr>
          <w:color w:val="000000"/>
          <w:sz w:val="22"/>
          <w:szCs w:val="22"/>
          <w:lang w:val="en-ID"/>
        </w:rPr>
        <w:t>ircinianin</w:t>
      </w:r>
      <w:proofErr w:type="spellEnd"/>
      <w:r w:rsidRPr="00C4749A">
        <w:rPr>
          <w:color w:val="000000"/>
          <w:sz w:val="22"/>
          <w:szCs w:val="22"/>
          <w:lang w:val="en-ID"/>
        </w:rPr>
        <w:t xml:space="preserve"> </w:t>
      </w:r>
      <w:proofErr w:type="spellStart"/>
      <w:r w:rsidRPr="00C4749A">
        <w:rPr>
          <w:color w:val="000000"/>
          <w:sz w:val="22"/>
          <w:szCs w:val="22"/>
          <w:lang w:val="en-ID"/>
        </w:rPr>
        <w:t>membentuk</w:t>
      </w:r>
      <w:proofErr w:type="spellEnd"/>
      <w:r w:rsidRPr="00C4749A">
        <w:rPr>
          <w:color w:val="000000"/>
          <w:sz w:val="22"/>
          <w:szCs w:val="22"/>
          <w:lang w:val="en-ID"/>
        </w:rPr>
        <w:t xml:space="preserve"> dua </w:t>
      </w:r>
      <w:proofErr w:type="spellStart"/>
      <w:r w:rsidRPr="00C4749A">
        <w:rPr>
          <w:color w:val="000000"/>
          <w:sz w:val="22"/>
          <w:szCs w:val="22"/>
          <w:lang w:val="en-ID"/>
        </w:rPr>
        <w:t>ikatan</w:t>
      </w:r>
      <w:proofErr w:type="spellEnd"/>
      <w:r w:rsidRPr="00C4749A">
        <w:rPr>
          <w:color w:val="000000"/>
          <w:sz w:val="22"/>
          <w:szCs w:val="22"/>
          <w:lang w:val="en-ID"/>
        </w:rPr>
        <w:t xml:space="preserve"> </w:t>
      </w:r>
      <w:proofErr w:type="spellStart"/>
      <w:r w:rsidRPr="00C4749A">
        <w:rPr>
          <w:color w:val="000000"/>
          <w:sz w:val="22"/>
          <w:szCs w:val="22"/>
          <w:lang w:val="en-ID"/>
        </w:rPr>
        <w:t>hidrogen</w:t>
      </w:r>
      <w:proofErr w:type="spellEnd"/>
      <w:r w:rsidRPr="00C4749A">
        <w:rPr>
          <w:color w:val="000000"/>
          <w:sz w:val="22"/>
          <w:szCs w:val="22"/>
          <w:lang w:val="en-ID"/>
        </w:rPr>
        <w:t xml:space="preserve">, </w:t>
      </w:r>
      <w:proofErr w:type="spellStart"/>
      <w:r w:rsidRPr="00C4749A">
        <w:rPr>
          <w:color w:val="000000"/>
          <w:sz w:val="22"/>
          <w:szCs w:val="22"/>
          <w:lang w:val="en-ID"/>
        </w:rPr>
        <w:t>yaitu</w:t>
      </w:r>
      <w:proofErr w:type="spellEnd"/>
      <w:r w:rsidRPr="00C4749A">
        <w:rPr>
          <w:color w:val="000000"/>
          <w:sz w:val="22"/>
          <w:szCs w:val="22"/>
          <w:lang w:val="en-ID"/>
        </w:rPr>
        <w:t xml:space="preserve"> </w:t>
      </w:r>
      <w:proofErr w:type="spellStart"/>
      <w:r w:rsidRPr="00C4749A">
        <w:rPr>
          <w:color w:val="000000"/>
          <w:sz w:val="22"/>
          <w:szCs w:val="22"/>
          <w:lang w:val="en-ID"/>
        </w:rPr>
        <w:t>dengan</w:t>
      </w:r>
      <w:proofErr w:type="spellEnd"/>
      <w:r w:rsidRPr="00C4749A">
        <w:rPr>
          <w:color w:val="000000"/>
          <w:sz w:val="22"/>
          <w:szCs w:val="22"/>
          <w:lang w:val="en-ID"/>
        </w:rPr>
        <w:t xml:space="preserve"> </w:t>
      </w:r>
      <w:proofErr w:type="spellStart"/>
      <w:r w:rsidRPr="00C4749A">
        <w:rPr>
          <w:color w:val="000000"/>
          <w:sz w:val="22"/>
          <w:szCs w:val="22"/>
          <w:lang w:val="en-ID"/>
        </w:rPr>
        <w:t>residu</w:t>
      </w:r>
      <w:proofErr w:type="spellEnd"/>
      <w:r w:rsidRPr="00C4749A">
        <w:rPr>
          <w:color w:val="000000"/>
          <w:sz w:val="22"/>
          <w:szCs w:val="22"/>
          <w:lang w:val="en-ID"/>
        </w:rPr>
        <w:t xml:space="preserve"> PHE:98 dan TRP:291. </w:t>
      </w:r>
      <w:proofErr w:type="spellStart"/>
      <w:r w:rsidRPr="00C4749A">
        <w:rPr>
          <w:color w:val="000000"/>
          <w:sz w:val="22"/>
          <w:szCs w:val="22"/>
          <w:lang w:val="en-ID"/>
        </w:rPr>
        <w:t>Meskipun</w:t>
      </w:r>
      <w:proofErr w:type="spellEnd"/>
      <w:r w:rsidRPr="00C4749A">
        <w:rPr>
          <w:color w:val="000000"/>
          <w:sz w:val="22"/>
          <w:szCs w:val="22"/>
          <w:lang w:val="en-ID"/>
        </w:rPr>
        <w:t xml:space="preserve"> </w:t>
      </w:r>
      <w:proofErr w:type="spellStart"/>
      <w:r w:rsidRPr="00C4749A">
        <w:rPr>
          <w:color w:val="000000"/>
          <w:sz w:val="22"/>
          <w:szCs w:val="22"/>
          <w:lang w:val="en-ID"/>
        </w:rPr>
        <w:t>jumlah</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w:t>
      </w:r>
      <w:proofErr w:type="spellStart"/>
      <w:r w:rsidRPr="00C4749A">
        <w:rPr>
          <w:color w:val="000000"/>
          <w:sz w:val="22"/>
          <w:szCs w:val="22"/>
          <w:lang w:val="en-ID"/>
        </w:rPr>
        <w:t>hidrogen</w:t>
      </w:r>
      <w:proofErr w:type="spellEnd"/>
      <w:r w:rsidRPr="00C4749A">
        <w:rPr>
          <w:color w:val="000000"/>
          <w:sz w:val="22"/>
          <w:szCs w:val="22"/>
          <w:lang w:val="en-ID"/>
        </w:rPr>
        <w:t xml:space="preserve"> </w:t>
      </w:r>
      <w:proofErr w:type="spellStart"/>
      <w:r w:rsidRPr="00C4749A">
        <w:rPr>
          <w:color w:val="000000"/>
          <w:sz w:val="22"/>
          <w:szCs w:val="22"/>
          <w:lang w:val="en-ID"/>
        </w:rPr>
        <w:t>lebih</w:t>
      </w:r>
      <w:proofErr w:type="spellEnd"/>
      <w:r w:rsidRPr="00C4749A">
        <w:rPr>
          <w:color w:val="000000"/>
          <w:sz w:val="22"/>
          <w:szCs w:val="22"/>
          <w:lang w:val="en-ID"/>
        </w:rPr>
        <w:t xml:space="preserve"> </w:t>
      </w:r>
      <w:proofErr w:type="spellStart"/>
      <w:r w:rsidRPr="00C4749A">
        <w:rPr>
          <w:color w:val="000000"/>
          <w:sz w:val="22"/>
          <w:szCs w:val="22"/>
          <w:lang w:val="en-ID"/>
        </w:rPr>
        <w:t>sedikit</w:t>
      </w:r>
      <w:proofErr w:type="spellEnd"/>
      <w:r w:rsidRPr="00C4749A">
        <w:rPr>
          <w:color w:val="000000"/>
          <w:sz w:val="22"/>
          <w:szCs w:val="22"/>
          <w:lang w:val="en-ID"/>
        </w:rPr>
        <w:t xml:space="preserve"> </w:t>
      </w:r>
      <w:proofErr w:type="spellStart"/>
      <w:r w:rsidRPr="00C4749A">
        <w:rPr>
          <w:color w:val="000000"/>
          <w:sz w:val="22"/>
          <w:szCs w:val="22"/>
          <w:lang w:val="en-ID"/>
        </w:rPr>
        <w:t>dibandingkan</w:t>
      </w:r>
      <w:proofErr w:type="spellEnd"/>
      <w:r w:rsidRPr="00C4749A">
        <w:rPr>
          <w:color w:val="000000"/>
          <w:sz w:val="22"/>
          <w:szCs w:val="22"/>
          <w:lang w:val="en-ID"/>
        </w:rPr>
        <w:t xml:space="preserve"> </w:t>
      </w:r>
      <w:r w:rsidRPr="00C4749A">
        <w:rPr>
          <w:i/>
          <w:iCs/>
          <w:color w:val="000000"/>
          <w:sz w:val="22"/>
          <w:szCs w:val="22"/>
          <w:lang w:val="en-ID"/>
        </w:rPr>
        <w:t>native ligand</w:t>
      </w:r>
      <w:r w:rsidRPr="00C4749A">
        <w:rPr>
          <w:color w:val="000000"/>
          <w:sz w:val="22"/>
          <w:szCs w:val="22"/>
          <w:lang w:val="en-ID"/>
        </w:rPr>
        <w:t xml:space="preserve">, </w:t>
      </w:r>
      <w:proofErr w:type="spellStart"/>
      <w:r w:rsidRPr="00C4749A">
        <w:rPr>
          <w:color w:val="000000"/>
          <w:sz w:val="22"/>
          <w:szCs w:val="22"/>
          <w:lang w:val="en-ID"/>
        </w:rPr>
        <w:t>ircinianin</w:t>
      </w:r>
      <w:proofErr w:type="spellEnd"/>
      <w:r w:rsidRPr="00C4749A">
        <w:rPr>
          <w:color w:val="000000"/>
          <w:sz w:val="22"/>
          <w:szCs w:val="22"/>
          <w:lang w:val="en-ID"/>
        </w:rPr>
        <w:t xml:space="preserve"> </w:t>
      </w:r>
      <w:proofErr w:type="spellStart"/>
      <w:r w:rsidRPr="00C4749A">
        <w:rPr>
          <w:color w:val="000000"/>
          <w:sz w:val="22"/>
          <w:szCs w:val="22"/>
          <w:lang w:val="en-ID"/>
        </w:rPr>
        <w:t>tetap</w:t>
      </w:r>
      <w:proofErr w:type="spellEnd"/>
      <w:r w:rsidRPr="00C4749A">
        <w:rPr>
          <w:color w:val="000000"/>
          <w:sz w:val="22"/>
          <w:szCs w:val="22"/>
          <w:lang w:val="en-ID"/>
        </w:rPr>
        <w:t xml:space="preserve"> </w:t>
      </w:r>
      <w:proofErr w:type="spellStart"/>
      <w:r w:rsidRPr="00C4749A">
        <w:rPr>
          <w:color w:val="000000"/>
          <w:sz w:val="22"/>
          <w:szCs w:val="22"/>
          <w:lang w:val="en-ID"/>
        </w:rPr>
        <w:t>menunjukkan</w:t>
      </w:r>
      <w:proofErr w:type="spellEnd"/>
      <w:r w:rsidRPr="00C4749A">
        <w:rPr>
          <w:color w:val="000000"/>
          <w:sz w:val="22"/>
          <w:szCs w:val="22"/>
          <w:lang w:val="en-ID"/>
        </w:rPr>
        <w:t xml:space="preserve"> </w:t>
      </w:r>
      <w:proofErr w:type="spellStart"/>
      <w:r w:rsidRPr="00C4749A">
        <w:rPr>
          <w:color w:val="000000"/>
          <w:sz w:val="22"/>
          <w:szCs w:val="22"/>
          <w:lang w:val="en-ID"/>
        </w:rPr>
        <w:t>energi</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yang </w:t>
      </w:r>
      <w:proofErr w:type="spellStart"/>
      <w:r w:rsidRPr="00C4749A">
        <w:rPr>
          <w:color w:val="000000"/>
          <w:sz w:val="22"/>
          <w:szCs w:val="22"/>
          <w:lang w:val="en-ID"/>
        </w:rPr>
        <w:t>cukup</w:t>
      </w:r>
      <w:proofErr w:type="spellEnd"/>
      <w:r w:rsidRPr="00C4749A">
        <w:rPr>
          <w:color w:val="000000"/>
          <w:sz w:val="22"/>
          <w:szCs w:val="22"/>
          <w:lang w:val="en-ID"/>
        </w:rPr>
        <w:t xml:space="preserve"> </w:t>
      </w:r>
      <w:proofErr w:type="spellStart"/>
      <w:r w:rsidRPr="00C4749A">
        <w:rPr>
          <w:color w:val="000000"/>
          <w:sz w:val="22"/>
          <w:szCs w:val="22"/>
          <w:lang w:val="en-ID"/>
        </w:rPr>
        <w:t>rendah</w:t>
      </w:r>
      <w:proofErr w:type="spellEnd"/>
      <w:r w:rsidRPr="00C4749A">
        <w:rPr>
          <w:color w:val="000000"/>
          <w:sz w:val="22"/>
          <w:szCs w:val="22"/>
          <w:lang w:val="en-ID"/>
        </w:rPr>
        <w:t xml:space="preserve"> (-10,76 kcal/mol). Hal </w:t>
      </w:r>
      <w:proofErr w:type="spellStart"/>
      <w:r w:rsidRPr="00C4749A">
        <w:rPr>
          <w:color w:val="000000"/>
          <w:sz w:val="22"/>
          <w:szCs w:val="22"/>
          <w:lang w:val="en-ID"/>
        </w:rPr>
        <w:t>ini</w:t>
      </w:r>
      <w:proofErr w:type="spellEnd"/>
      <w:r w:rsidRPr="00C4749A">
        <w:rPr>
          <w:color w:val="000000"/>
          <w:sz w:val="22"/>
          <w:szCs w:val="22"/>
          <w:lang w:val="en-ID"/>
        </w:rPr>
        <w:t xml:space="preserve"> </w:t>
      </w:r>
      <w:proofErr w:type="spellStart"/>
      <w:r w:rsidRPr="00C4749A">
        <w:rPr>
          <w:color w:val="000000"/>
          <w:sz w:val="22"/>
          <w:szCs w:val="22"/>
          <w:lang w:val="en-ID"/>
        </w:rPr>
        <w:t>menunjukkan</w:t>
      </w:r>
      <w:proofErr w:type="spellEnd"/>
      <w:r w:rsidRPr="00C4749A">
        <w:rPr>
          <w:color w:val="000000"/>
          <w:sz w:val="22"/>
          <w:szCs w:val="22"/>
          <w:lang w:val="en-ID"/>
        </w:rPr>
        <w:t xml:space="preserve"> </w:t>
      </w:r>
      <w:proofErr w:type="spellStart"/>
      <w:r w:rsidRPr="00C4749A">
        <w:rPr>
          <w:color w:val="000000"/>
          <w:sz w:val="22"/>
          <w:szCs w:val="22"/>
          <w:lang w:val="en-ID"/>
        </w:rPr>
        <w:t>bahwa</w:t>
      </w:r>
      <w:proofErr w:type="spellEnd"/>
      <w:r w:rsidRPr="00C4749A">
        <w:rPr>
          <w:color w:val="000000"/>
          <w:sz w:val="22"/>
          <w:szCs w:val="22"/>
          <w:lang w:val="en-ID"/>
        </w:rPr>
        <w:t xml:space="preserve"> </w:t>
      </w:r>
      <w:proofErr w:type="spellStart"/>
      <w:r w:rsidRPr="00C4749A">
        <w:rPr>
          <w:color w:val="000000"/>
          <w:sz w:val="22"/>
          <w:szCs w:val="22"/>
          <w:lang w:val="en-ID"/>
        </w:rPr>
        <w:t>interaksi</w:t>
      </w:r>
      <w:proofErr w:type="spellEnd"/>
      <w:r w:rsidRPr="00C4749A">
        <w:rPr>
          <w:color w:val="000000"/>
          <w:sz w:val="22"/>
          <w:szCs w:val="22"/>
          <w:lang w:val="en-ID"/>
        </w:rPr>
        <w:t xml:space="preserve"> </w:t>
      </w:r>
      <w:proofErr w:type="spellStart"/>
      <w:r w:rsidRPr="00C4749A">
        <w:rPr>
          <w:color w:val="000000"/>
          <w:sz w:val="22"/>
          <w:szCs w:val="22"/>
          <w:lang w:val="en-ID"/>
        </w:rPr>
        <w:t>hidrofobik</w:t>
      </w:r>
      <w:proofErr w:type="spellEnd"/>
      <w:r w:rsidRPr="00C4749A">
        <w:rPr>
          <w:color w:val="000000"/>
          <w:sz w:val="22"/>
          <w:szCs w:val="22"/>
          <w:lang w:val="en-ID"/>
        </w:rPr>
        <w:t xml:space="preserve"> </w:t>
      </w:r>
      <w:proofErr w:type="spellStart"/>
      <w:r w:rsidRPr="00C4749A">
        <w:rPr>
          <w:color w:val="000000"/>
          <w:sz w:val="22"/>
          <w:szCs w:val="22"/>
          <w:lang w:val="en-ID"/>
        </w:rPr>
        <w:t>atau</w:t>
      </w:r>
      <w:proofErr w:type="spellEnd"/>
      <w:r w:rsidRPr="00C4749A">
        <w:rPr>
          <w:color w:val="000000"/>
          <w:sz w:val="22"/>
          <w:szCs w:val="22"/>
          <w:lang w:val="en-ID"/>
        </w:rPr>
        <w:t xml:space="preserve"> </w:t>
      </w:r>
      <w:proofErr w:type="spellStart"/>
      <w:r w:rsidRPr="00C4749A">
        <w:rPr>
          <w:color w:val="000000"/>
          <w:sz w:val="22"/>
          <w:szCs w:val="22"/>
          <w:lang w:val="en-ID"/>
        </w:rPr>
        <w:t>jenis</w:t>
      </w:r>
      <w:proofErr w:type="spellEnd"/>
      <w:r w:rsidRPr="00C4749A">
        <w:rPr>
          <w:color w:val="000000"/>
          <w:sz w:val="22"/>
          <w:szCs w:val="22"/>
          <w:lang w:val="en-ID"/>
        </w:rPr>
        <w:t xml:space="preserve"> </w:t>
      </w:r>
      <w:proofErr w:type="spellStart"/>
      <w:r w:rsidRPr="00C4749A">
        <w:rPr>
          <w:color w:val="000000"/>
          <w:sz w:val="22"/>
          <w:szCs w:val="22"/>
          <w:lang w:val="en-ID"/>
        </w:rPr>
        <w:t>interaksi</w:t>
      </w:r>
      <w:proofErr w:type="spellEnd"/>
      <w:r w:rsidRPr="00C4749A">
        <w:rPr>
          <w:color w:val="000000"/>
          <w:sz w:val="22"/>
          <w:szCs w:val="22"/>
          <w:lang w:val="en-ID"/>
        </w:rPr>
        <w:t xml:space="preserve"> lain </w:t>
      </w:r>
      <w:proofErr w:type="spellStart"/>
      <w:r w:rsidRPr="00C4749A">
        <w:rPr>
          <w:color w:val="000000"/>
          <w:sz w:val="22"/>
          <w:szCs w:val="22"/>
          <w:lang w:val="en-ID"/>
        </w:rPr>
        <w:t>mungkin</w:t>
      </w:r>
      <w:proofErr w:type="spellEnd"/>
      <w:r w:rsidRPr="00C4749A">
        <w:rPr>
          <w:color w:val="000000"/>
          <w:sz w:val="22"/>
          <w:szCs w:val="22"/>
          <w:lang w:val="en-ID"/>
        </w:rPr>
        <w:t xml:space="preserve"> </w:t>
      </w:r>
      <w:proofErr w:type="spellStart"/>
      <w:r w:rsidRPr="00C4749A">
        <w:rPr>
          <w:color w:val="000000"/>
          <w:sz w:val="22"/>
          <w:szCs w:val="22"/>
          <w:lang w:val="en-ID"/>
        </w:rPr>
        <w:t>turut</w:t>
      </w:r>
      <w:proofErr w:type="spellEnd"/>
      <w:r w:rsidRPr="00C4749A">
        <w:rPr>
          <w:color w:val="000000"/>
          <w:sz w:val="22"/>
          <w:szCs w:val="22"/>
          <w:lang w:val="en-ID"/>
        </w:rPr>
        <w:t xml:space="preserve"> </w:t>
      </w:r>
      <w:proofErr w:type="spellStart"/>
      <w:r w:rsidRPr="00C4749A">
        <w:rPr>
          <w:color w:val="000000"/>
          <w:sz w:val="22"/>
          <w:szCs w:val="22"/>
          <w:lang w:val="en-ID"/>
        </w:rPr>
        <w:t>berkontribusi</w:t>
      </w:r>
      <w:proofErr w:type="spellEnd"/>
      <w:r w:rsidRPr="00C4749A">
        <w:rPr>
          <w:color w:val="000000"/>
          <w:sz w:val="22"/>
          <w:szCs w:val="22"/>
          <w:lang w:val="en-ID"/>
        </w:rPr>
        <w:t xml:space="preserve"> pada </w:t>
      </w:r>
      <w:proofErr w:type="spellStart"/>
      <w:r w:rsidRPr="00C4749A">
        <w:rPr>
          <w:color w:val="000000"/>
          <w:sz w:val="22"/>
          <w:szCs w:val="22"/>
          <w:lang w:val="en-ID"/>
        </w:rPr>
        <w:t>stabilitas</w:t>
      </w:r>
      <w:proofErr w:type="spellEnd"/>
      <w:r w:rsidRPr="00C4749A">
        <w:rPr>
          <w:color w:val="000000"/>
          <w:sz w:val="22"/>
          <w:szCs w:val="22"/>
          <w:lang w:val="en-ID"/>
        </w:rPr>
        <w:t xml:space="preserve"> </w:t>
      </w:r>
      <w:proofErr w:type="spellStart"/>
      <w:r w:rsidRPr="00C4749A">
        <w:rPr>
          <w:color w:val="000000"/>
          <w:sz w:val="22"/>
          <w:szCs w:val="22"/>
          <w:lang w:val="en-ID"/>
        </w:rPr>
        <w:t>kompleks</w:t>
      </w:r>
      <w:proofErr w:type="spellEnd"/>
      <w:r w:rsidRPr="00C4749A">
        <w:rPr>
          <w:color w:val="000000"/>
          <w:sz w:val="22"/>
          <w:szCs w:val="22"/>
          <w:lang w:val="en-ID"/>
        </w:rPr>
        <w:t xml:space="preserve"> </w:t>
      </w:r>
      <w:proofErr w:type="spellStart"/>
      <w:r w:rsidRPr="00C4749A">
        <w:rPr>
          <w:color w:val="000000"/>
          <w:sz w:val="22"/>
          <w:szCs w:val="22"/>
          <w:lang w:val="en-ID"/>
        </w:rPr>
        <w:t>ircinianin-reseptor</w:t>
      </w:r>
      <w:proofErr w:type="spellEnd"/>
      <w:r w:rsidRPr="00C4749A">
        <w:rPr>
          <w:color w:val="000000"/>
          <w:sz w:val="22"/>
          <w:szCs w:val="22"/>
          <w:lang w:val="en-ID"/>
        </w:rPr>
        <w:t>.</w:t>
      </w:r>
    </w:p>
    <w:p w14:paraId="668B44C3" w14:textId="77777777" w:rsidR="00C4749A" w:rsidRPr="00C4749A" w:rsidRDefault="00C4749A" w:rsidP="00C4749A">
      <w:pPr>
        <w:spacing w:line="360" w:lineRule="auto"/>
        <w:ind w:firstLine="426"/>
        <w:jc w:val="both"/>
        <w:rPr>
          <w:color w:val="000000"/>
          <w:sz w:val="22"/>
          <w:szCs w:val="22"/>
          <w:lang w:val="en-ID"/>
        </w:rPr>
      </w:pPr>
      <w:proofErr w:type="spellStart"/>
      <w:r w:rsidRPr="00C4749A">
        <w:rPr>
          <w:color w:val="000000"/>
          <w:sz w:val="22"/>
          <w:szCs w:val="22"/>
          <w:lang w:val="en-ID"/>
        </w:rPr>
        <w:t>Perbedaan</w:t>
      </w:r>
      <w:proofErr w:type="spellEnd"/>
      <w:r w:rsidRPr="00C4749A">
        <w:rPr>
          <w:color w:val="000000"/>
          <w:sz w:val="22"/>
          <w:szCs w:val="22"/>
          <w:lang w:val="en-ID"/>
        </w:rPr>
        <w:t xml:space="preserve"> </w:t>
      </w:r>
      <w:proofErr w:type="spellStart"/>
      <w:r w:rsidRPr="00C4749A">
        <w:rPr>
          <w:color w:val="000000"/>
          <w:sz w:val="22"/>
          <w:szCs w:val="22"/>
          <w:lang w:val="en-ID"/>
        </w:rPr>
        <w:t>jumlah</w:t>
      </w:r>
      <w:proofErr w:type="spellEnd"/>
      <w:r w:rsidRPr="00C4749A">
        <w:rPr>
          <w:color w:val="000000"/>
          <w:sz w:val="22"/>
          <w:szCs w:val="22"/>
          <w:lang w:val="en-ID"/>
        </w:rPr>
        <w:t xml:space="preserve"> dan </w:t>
      </w:r>
      <w:proofErr w:type="spellStart"/>
      <w:r w:rsidRPr="00C4749A">
        <w:rPr>
          <w:color w:val="000000"/>
          <w:sz w:val="22"/>
          <w:szCs w:val="22"/>
          <w:lang w:val="en-ID"/>
        </w:rPr>
        <w:t>pola</w:t>
      </w:r>
      <w:proofErr w:type="spellEnd"/>
      <w:r w:rsidRPr="00C4749A">
        <w:rPr>
          <w:color w:val="000000"/>
          <w:sz w:val="22"/>
          <w:szCs w:val="22"/>
          <w:lang w:val="en-ID"/>
        </w:rPr>
        <w:t xml:space="preserve"> </w:t>
      </w:r>
      <w:proofErr w:type="spellStart"/>
      <w:r w:rsidRPr="00C4749A">
        <w:rPr>
          <w:color w:val="000000"/>
          <w:sz w:val="22"/>
          <w:szCs w:val="22"/>
          <w:lang w:val="en-ID"/>
        </w:rPr>
        <w:t>interaksi</w:t>
      </w:r>
      <w:proofErr w:type="spellEnd"/>
      <w:r w:rsidRPr="00C4749A">
        <w:rPr>
          <w:color w:val="000000"/>
          <w:sz w:val="22"/>
          <w:szCs w:val="22"/>
          <w:lang w:val="en-ID"/>
        </w:rPr>
        <w:t xml:space="preserve"> </w:t>
      </w:r>
      <w:proofErr w:type="spellStart"/>
      <w:r w:rsidRPr="00C4749A">
        <w:rPr>
          <w:color w:val="000000"/>
          <w:sz w:val="22"/>
          <w:szCs w:val="22"/>
          <w:lang w:val="en-ID"/>
        </w:rPr>
        <w:t>hidrogen</w:t>
      </w:r>
      <w:proofErr w:type="spellEnd"/>
      <w:r w:rsidRPr="00C4749A">
        <w:rPr>
          <w:color w:val="000000"/>
          <w:sz w:val="22"/>
          <w:szCs w:val="22"/>
          <w:lang w:val="en-ID"/>
        </w:rPr>
        <w:t xml:space="preserve"> </w:t>
      </w:r>
      <w:proofErr w:type="spellStart"/>
      <w:r w:rsidRPr="00C4749A">
        <w:rPr>
          <w:color w:val="000000"/>
          <w:sz w:val="22"/>
          <w:szCs w:val="22"/>
          <w:lang w:val="en-ID"/>
        </w:rPr>
        <w:t>ini</w:t>
      </w:r>
      <w:proofErr w:type="spellEnd"/>
      <w:r w:rsidRPr="00C4749A">
        <w:rPr>
          <w:color w:val="000000"/>
          <w:sz w:val="22"/>
          <w:szCs w:val="22"/>
          <w:lang w:val="en-ID"/>
        </w:rPr>
        <w:t xml:space="preserve"> </w:t>
      </w:r>
      <w:proofErr w:type="spellStart"/>
      <w:r w:rsidRPr="00C4749A">
        <w:rPr>
          <w:color w:val="000000"/>
          <w:sz w:val="22"/>
          <w:szCs w:val="22"/>
          <w:lang w:val="en-ID"/>
        </w:rPr>
        <w:t>dapat</w:t>
      </w:r>
      <w:proofErr w:type="spellEnd"/>
      <w:r w:rsidRPr="00C4749A">
        <w:rPr>
          <w:color w:val="000000"/>
          <w:sz w:val="22"/>
          <w:szCs w:val="22"/>
          <w:lang w:val="en-ID"/>
        </w:rPr>
        <w:t xml:space="preserve"> </w:t>
      </w:r>
      <w:proofErr w:type="spellStart"/>
      <w:r w:rsidRPr="00C4749A">
        <w:rPr>
          <w:color w:val="000000"/>
          <w:sz w:val="22"/>
          <w:szCs w:val="22"/>
          <w:lang w:val="en-ID"/>
        </w:rPr>
        <w:t>menjelaskan</w:t>
      </w:r>
      <w:proofErr w:type="spellEnd"/>
      <w:r w:rsidRPr="00C4749A">
        <w:rPr>
          <w:color w:val="000000"/>
          <w:sz w:val="22"/>
          <w:szCs w:val="22"/>
          <w:lang w:val="en-ID"/>
        </w:rPr>
        <w:t xml:space="preserve"> </w:t>
      </w:r>
      <w:proofErr w:type="spellStart"/>
      <w:r w:rsidRPr="00C4749A">
        <w:rPr>
          <w:color w:val="000000"/>
          <w:sz w:val="22"/>
          <w:szCs w:val="22"/>
          <w:lang w:val="en-ID"/>
        </w:rPr>
        <w:t>sedikitnya</w:t>
      </w:r>
      <w:proofErr w:type="spellEnd"/>
      <w:r w:rsidRPr="00C4749A">
        <w:rPr>
          <w:color w:val="000000"/>
          <w:sz w:val="22"/>
          <w:szCs w:val="22"/>
          <w:lang w:val="en-ID"/>
        </w:rPr>
        <w:t xml:space="preserve"> </w:t>
      </w:r>
      <w:proofErr w:type="spellStart"/>
      <w:r w:rsidRPr="00C4749A">
        <w:rPr>
          <w:color w:val="000000"/>
          <w:sz w:val="22"/>
          <w:szCs w:val="22"/>
          <w:lang w:val="en-ID"/>
        </w:rPr>
        <w:t>perbedaan</w:t>
      </w:r>
      <w:proofErr w:type="spellEnd"/>
      <w:r w:rsidRPr="00C4749A">
        <w:rPr>
          <w:color w:val="000000"/>
          <w:sz w:val="22"/>
          <w:szCs w:val="22"/>
          <w:lang w:val="en-ID"/>
        </w:rPr>
        <w:t xml:space="preserve"> </w:t>
      </w:r>
      <w:proofErr w:type="spellStart"/>
      <w:r w:rsidRPr="00C4749A">
        <w:rPr>
          <w:color w:val="000000"/>
          <w:sz w:val="22"/>
          <w:szCs w:val="22"/>
          <w:lang w:val="en-ID"/>
        </w:rPr>
        <w:t>dalam</w:t>
      </w:r>
      <w:proofErr w:type="spellEnd"/>
      <w:r w:rsidRPr="00C4749A">
        <w:rPr>
          <w:color w:val="000000"/>
          <w:sz w:val="22"/>
          <w:szCs w:val="22"/>
          <w:lang w:val="en-ID"/>
        </w:rPr>
        <w:t xml:space="preserve"> </w:t>
      </w:r>
      <w:proofErr w:type="spellStart"/>
      <w:r w:rsidRPr="00C4749A">
        <w:rPr>
          <w:color w:val="000000"/>
          <w:sz w:val="22"/>
          <w:szCs w:val="22"/>
          <w:lang w:val="en-ID"/>
        </w:rPr>
        <w:t>energi</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w:t>
      </w:r>
      <w:proofErr w:type="spellStart"/>
      <w:r w:rsidRPr="00C4749A">
        <w:rPr>
          <w:color w:val="000000"/>
          <w:sz w:val="22"/>
          <w:szCs w:val="22"/>
          <w:lang w:val="en-ID"/>
        </w:rPr>
        <w:t>antara</w:t>
      </w:r>
      <w:proofErr w:type="spellEnd"/>
      <w:r w:rsidRPr="00C4749A">
        <w:rPr>
          <w:color w:val="000000"/>
          <w:sz w:val="22"/>
          <w:szCs w:val="22"/>
          <w:lang w:val="en-ID"/>
        </w:rPr>
        <w:t xml:space="preserve"> </w:t>
      </w:r>
      <w:r w:rsidRPr="00C4749A">
        <w:rPr>
          <w:i/>
          <w:iCs/>
          <w:color w:val="000000"/>
          <w:sz w:val="22"/>
          <w:szCs w:val="22"/>
          <w:lang w:val="en-ID"/>
        </w:rPr>
        <w:t>native ligand</w:t>
      </w:r>
      <w:r w:rsidRPr="00C4749A">
        <w:rPr>
          <w:color w:val="000000"/>
          <w:sz w:val="22"/>
          <w:szCs w:val="22"/>
          <w:lang w:val="en-ID"/>
        </w:rPr>
        <w:t xml:space="preserve"> dan </w:t>
      </w:r>
      <w:proofErr w:type="spellStart"/>
      <w:r w:rsidRPr="00C4749A">
        <w:rPr>
          <w:color w:val="000000"/>
          <w:sz w:val="22"/>
          <w:szCs w:val="22"/>
          <w:lang w:val="en-ID"/>
        </w:rPr>
        <w:t>ircinianin</w:t>
      </w:r>
      <w:proofErr w:type="spellEnd"/>
      <w:r w:rsidRPr="00C4749A">
        <w:rPr>
          <w:color w:val="000000"/>
          <w:sz w:val="22"/>
          <w:szCs w:val="22"/>
          <w:lang w:val="en-ID"/>
        </w:rPr>
        <w:t xml:space="preserve">. </w:t>
      </w:r>
      <w:proofErr w:type="spellStart"/>
      <w:r w:rsidRPr="00C4749A">
        <w:rPr>
          <w:color w:val="000000"/>
          <w:sz w:val="22"/>
          <w:szCs w:val="22"/>
          <w:lang w:val="en-ID"/>
        </w:rPr>
        <w:t>Interaksi</w:t>
      </w:r>
      <w:proofErr w:type="spellEnd"/>
      <w:r w:rsidRPr="00C4749A">
        <w:rPr>
          <w:color w:val="000000"/>
          <w:sz w:val="22"/>
          <w:szCs w:val="22"/>
          <w:lang w:val="en-ID"/>
        </w:rPr>
        <w:t xml:space="preserve"> </w:t>
      </w:r>
      <w:proofErr w:type="spellStart"/>
      <w:r w:rsidRPr="00C4749A">
        <w:rPr>
          <w:color w:val="000000"/>
          <w:sz w:val="22"/>
          <w:szCs w:val="22"/>
          <w:lang w:val="en-ID"/>
        </w:rPr>
        <w:t>hidrogen</w:t>
      </w:r>
      <w:proofErr w:type="spellEnd"/>
      <w:r w:rsidRPr="00C4749A">
        <w:rPr>
          <w:color w:val="000000"/>
          <w:sz w:val="22"/>
          <w:szCs w:val="22"/>
          <w:lang w:val="en-ID"/>
        </w:rPr>
        <w:t xml:space="preserve"> yang </w:t>
      </w:r>
      <w:proofErr w:type="spellStart"/>
      <w:r w:rsidRPr="00C4749A">
        <w:rPr>
          <w:color w:val="000000"/>
          <w:sz w:val="22"/>
          <w:szCs w:val="22"/>
          <w:lang w:val="en-ID"/>
        </w:rPr>
        <w:t>lebih</w:t>
      </w:r>
      <w:proofErr w:type="spellEnd"/>
      <w:r w:rsidRPr="00C4749A">
        <w:rPr>
          <w:color w:val="000000"/>
          <w:sz w:val="22"/>
          <w:szCs w:val="22"/>
          <w:lang w:val="en-ID"/>
        </w:rPr>
        <w:t xml:space="preserve"> </w:t>
      </w:r>
      <w:proofErr w:type="spellStart"/>
      <w:r w:rsidRPr="00C4749A">
        <w:rPr>
          <w:color w:val="000000"/>
          <w:sz w:val="22"/>
          <w:szCs w:val="22"/>
          <w:lang w:val="en-ID"/>
        </w:rPr>
        <w:t>banyak</w:t>
      </w:r>
      <w:proofErr w:type="spellEnd"/>
      <w:r w:rsidRPr="00C4749A">
        <w:rPr>
          <w:color w:val="000000"/>
          <w:sz w:val="22"/>
          <w:szCs w:val="22"/>
          <w:lang w:val="en-ID"/>
        </w:rPr>
        <w:t xml:space="preserve"> pada </w:t>
      </w:r>
      <w:r w:rsidRPr="00C4749A">
        <w:rPr>
          <w:i/>
          <w:iCs/>
          <w:color w:val="000000"/>
          <w:sz w:val="22"/>
          <w:szCs w:val="22"/>
          <w:lang w:val="en-ID"/>
        </w:rPr>
        <w:t>native ligand</w:t>
      </w:r>
      <w:r w:rsidRPr="00C4749A">
        <w:rPr>
          <w:color w:val="000000"/>
          <w:sz w:val="22"/>
          <w:szCs w:val="22"/>
          <w:lang w:val="en-ID"/>
        </w:rPr>
        <w:t xml:space="preserve"> </w:t>
      </w:r>
      <w:proofErr w:type="spellStart"/>
      <w:r w:rsidRPr="00C4749A">
        <w:rPr>
          <w:color w:val="000000"/>
          <w:sz w:val="22"/>
          <w:szCs w:val="22"/>
          <w:lang w:val="en-ID"/>
        </w:rPr>
        <w:t>memberikan</w:t>
      </w:r>
      <w:proofErr w:type="spellEnd"/>
      <w:r w:rsidRPr="00C4749A">
        <w:rPr>
          <w:color w:val="000000"/>
          <w:sz w:val="22"/>
          <w:szCs w:val="22"/>
          <w:lang w:val="en-ID"/>
        </w:rPr>
        <w:t xml:space="preserve"> </w:t>
      </w:r>
      <w:proofErr w:type="spellStart"/>
      <w:r w:rsidRPr="00C4749A">
        <w:rPr>
          <w:color w:val="000000"/>
          <w:sz w:val="22"/>
          <w:szCs w:val="22"/>
          <w:lang w:val="en-ID"/>
        </w:rPr>
        <w:t>stabilitas</w:t>
      </w:r>
      <w:proofErr w:type="spellEnd"/>
      <w:r w:rsidRPr="00C4749A">
        <w:rPr>
          <w:color w:val="000000"/>
          <w:sz w:val="22"/>
          <w:szCs w:val="22"/>
          <w:lang w:val="en-ID"/>
        </w:rPr>
        <w:t xml:space="preserve"> </w:t>
      </w:r>
      <w:proofErr w:type="spellStart"/>
      <w:r w:rsidRPr="00C4749A">
        <w:rPr>
          <w:color w:val="000000"/>
          <w:sz w:val="22"/>
          <w:szCs w:val="22"/>
          <w:lang w:val="en-ID"/>
        </w:rPr>
        <w:t>tambahan</w:t>
      </w:r>
      <w:proofErr w:type="spellEnd"/>
      <w:r w:rsidRPr="00C4749A">
        <w:rPr>
          <w:color w:val="000000"/>
          <w:sz w:val="22"/>
          <w:szCs w:val="22"/>
          <w:lang w:val="en-ID"/>
        </w:rPr>
        <w:t xml:space="preserve">, </w:t>
      </w:r>
      <w:proofErr w:type="spellStart"/>
      <w:r w:rsidRPr="00C4749A">
        <w:rPr>
          <w:color w:val="000000"/>
          <w:sz w:val="22"/>
          <w:szCs w:val="22"/>
          <w:lang w:val="en-ID"/>
        </w:rPr>
        <w:t>sehingga</w:t>
      </w:r>
      <w:proofErr w:type="spellEnd"/>
      <w:r w:rsidRPr="00C4749A">
        <w:rPr>
          <w:color w:val="000000"/>
          <w:sz w:val="22"/>
          <w:szCs w:val="22"/>
          <w:lang w:val="en-ID"/>
        </w:rPr>
        <w:t xml:space="preserve"> </w:t>
      </w:r>
      <w:proofErr w:type="spellStart"/>
      <w:r w:rsidRPr="00C4749A">
        <w:rPr>
          <w:color w:val="000000"/>
          <w:sz w:val="22"/>
          <w:szCs w:val="22"/>
          <w:lang w:val="en-ID"/>
        </w:rPr>
        <w:t>energi</w:t>
      </w:r>
      <w:proofErr w:type="spellEnd"/>
      <w:r w:rsidRPr="00C4749A">
        <w:rPr>
          <w:color w:val="000000"/>
          <w:sz w:val="22"/>
          <w:szCs w:val="22"/>
          <w:lang w:val="en-ID"/>
        </w:rPr>
        <w:t xml:space="preserve"> </w:t>
      </w:r>
      <w:proofErr w:type="spellStart"/>
      <w:r w:rsidRPr="00C4749A">
        <w:rPr>
          <w:color w:val="000000"/>
          <w:sz w:val="22"/>
          <w:szCs w:val="22"/>
          <w:lang w:val="en-ID"/>
        </w:rPr>
        <w:t>ikatan</w:t>
      </w:r>
      <w:proofErr w:type="spellEnd"/>
      <w:r w:rsidRPr="00C4749A">
        <w:rPr>
          <w:color w:val="000000"/>
          <w:sz w:val="22"/>
          <w:szCs w:val="22"/>
          <w:lang w:val="en-ID"/>
        </w:rPr>
        <w:t xml:space="preserve"> </w:t>
      </w:r>
      <w:proofErr w:type="spellStart"/>
      <w:r w:rsidRPr="00C4749A">
        <w:rPr>
          <w:color w:val="000000"/>
          <w:sz w:val="22"/>
          <w:szCs w:val="22"/>
          <w:lang w:val="en-ID"/>
        </w:rPr>
        <w:t>lebih</w:t>
      </w:r>
      <w:proofErr w:type="spellEnd"/>
      <w:r w:rsidRPr="00C4749A">
        <w:rPr>
          <w:color w:val="000000"/>
          <w:sz w:val="22"/>
          <w:szCs w:val="22"/>
          <w:lang w:val="en-ID"/>
        </w:rPr>
        <w:t xml:space="preserve"> </w:t>
      </w:r>
      <w:proofErr w:type="spellStart"/>
      <w:r w:rsidRPr="00C4749A">
        <w:rPr>
          <w:color w:val="000000"/>
          <w:sz w:val="22"/>
          <w:szCs w:val="22"/>
          <w:lang w:val="en-ID"/>
        </w:rPr>
        <w:t>rendah</w:t>
      </w:r>
      <w:proofErr w:type="spellEnd"/>
      <w:r w:rsidRPr="00C4749A">
        <w:rPr>
          <w:color w:val="000000"/>
          <w:sz w:val="22"/>
          <w:szCs w:val="22"/>
          <w:lang w:val="en-ID"/>
        </w:rPr>
        <w:t xml:space="preserve"> </w:t>
      </w:r>
      <w:proofErr w:type="spellStart"/>
      <w:r w:rsidRPr="00C4749A">
        <w:rPr>
          <w:color w:val="000000"/>
          <w:sz w:val="22"/>
          <w:szCs w:val="22"/>
          <w:lang w:val="en-ID"/>
        </w:rPr>
        <w:t>dibandingkan</w:t>
      </w:r>
      <w:proofErr w:type="spellEnd"/>
      <w:r w:rsidRPr="00C4749A">
        <w:rPr>
          <w:color w:val="000000"/>
          <w:sz w:val="22"/>
          <w:szCs w:val="22"/>
          <w:lang w:val="en-ID"/>
        </w:rPr>
        <w:t xml:space="preserve"> </w:t>
      </w:r>
      <w:proofErr w:type="spellStart"/>
      <w:r w:rsidRPr="00C4749A">
        <w:rPr>
          <w:color w:val="000000"/>
          <w:sz w:val="22"/>
          <w:szCs w:val="22"/>
          <w:lang w:val="en-ID"/>
        </w:rPr>
        <w:t>ircinianin</w:t>
      </w:r>
      <w:proofErr w:type="spellEnd"/>
      <w:r w:rsidR="00066D02">
        <w:rPr>
          <w:color w:val="000000"/>
          <w:sz w:val="22"/>
          <w:szCs w:val="22"/>
          <w:lang w:val="en-ID"/>
        </w:rPr>
        <w:t xml:space="preserve"> </w:t>
      </w:r>
      <w:r w:rsidR="00066D02">
        <w:rPr>
          <w:color w:val="000000"/>
          <w:sz w:val="22"/>
          <w:szCs w:val="22"/>
          <w:lang w:val="en-ID"/>
        </w:rPr>
        <w:fldChar w:fldCharType="begin" w:fldLock="1"/>
      </w:r>
      <w:r w:rsidR="00E1744B">
        <w:rPr>
          <w:color w:val="000000"/>
          <w:sz w:val="22"/>
          <w:szCs w:val="22"/>
          <w:lang w:val="en-ID"/>
        </w:rPr>
        <w:instrText>ADDIN CSL_CITATION {"citationItems":[{"id":"ITEM-1","itemData":{"DOI":"10.1016/j.crstbi.2024.100125","ISSN":"2665-928X (Electronic)","PMID":"38282755","abstract":"The EGFR-C797S resistance mutation to third-generation drugs has been overcome by  fourth-generation inhibitors, allosteric inhibitors, namely EAI045 and has reached phase 3 clinical trials, so the Allosteric Site is currently an attractive target for development. In this study, researchers are interested in knowing the activity of metabolite compounds from marine natural ingredients Clathria Sp. against the Allosteric Site of EGFR computationally. The methods used include molecular docking using Autodock4 software and Molecular Dynamics simulation performed using GROMACS software. The research began with the preparation of metabolite samples from Clathria Sp. through the KnapSack database site and the preparation of EGFR receptors that have been complexed with allosteric inhibitors, namely proteins with PDB code 5D41. Each compound was docked to the Allosteric Site of the natural ligand and then molecular dynamics simulations were performed on the compound with the best docking energy compared to the natural ligand. From the docking results, the Clathrin_A compound showed the lowest binding energy compared to other metabolites, and the value was close to the natural ligand. Then from the molecular dynamics results, the clathrin_A compound shows good stability and resembles the natural ligand, which is analyzed through RMSD, RMSF, SASA, Rg, and PCA, and shows the binding free energy from MMPBSA analysis which is close to the natural ligand. It can be concluded, Clathrin_A compound has potential as an allosteric inhibitor.","author":[{"dropping-particle":"","family":"Nurisyah","given":"","non-dropping-particle":"","parse-names":false,"suffix":""},{"dropping-particle":"","family":"Ramadhan","given":"Dwi Syah Fitra","non-dropping-particle":"","parse-names":false,"suffix":""},{"dropping-particle":"","family":"Dewi","given":"Ratnasari","non-dropping-particle":"","parse-names":false,"suffix":""},{"dropping-particle":"","family":"Asikin","given":"Asyhari","non-dropping-particle":"","parse-names":false,"suffix":""},{"dropping-particle":"","family":"Daswi","given":"Dwi Rachmawaty","non-dropping-particle":"","parse-names":false,"suffix":""},{"dropping-particle":"","family":"Adam","given":"Adriyani","non-dropping-particle":"","parse-names":false,"suffix":""},{"dropping-particle":"","family":"Chaerunnimah","given":"","non-dropping-particle":"","parse-names":false,"suffix":""},{"dropping-particle":"","family":"Sunarto","given":"","non-dropping-particle":"","parse-names":false,"suffix":""},{"dropping-particle":"","family":"Rafika","given":"","non-dropping-particle":"","parse-names":false,"suffix":""},{"dropping-particle":"","family":"Artati","given":"","non-dropping-particle":"","parse-names":false,"suffix":""},{"dropping-particle":"","family":"Fakih","given":"Taufik Muhammad","non-dropping-particle":"","parse-names":false,"suffix":""}],"container-title":"Current research in structural biology","id":"ITEM-1","issued":{"date-parts":[["2024"]]},"language":"eng","page":"100125","publisher-place":"Netherlands","title":"Targeting EGFR allosteric site with marine-natural products of Clathria Sp.: A  computational approach.","type":"article-journal","volume":"7"},"uris":["http://www.mendeley.com/documents/?uuid=c52d2570-d98b-466f-9a34-20bed08f4252"]}],"mendeley":{"formattedCitation":"(Nurisyah et al., 2024)","plainTextFormattedCitation":"(Nurisyah et al., 2024)","previouslyFormattedCitation":"(Nurisyah et al., 2024)"},"properties":{"noteIndex":0},"schema":"https://github.com/citation-style-language/schema/raw/master/csl-citation.json"}</w:instrText>
      </w:r>
      <w:r w:rsidR="00066D02">
        <w:rPr>
          <w:color w:val="000000"/>
          <w:sz w:val="22"/>
          <w:szCs w:val="22"/>
          <w:lang w:val="en-ID"/>
        </w:rPr>
        <w:fldChar w:fldCharType="separate"/>
      </w:r>
      <w:r w:rsidR="00066D02" w:rsidRPr="00066D02">
        <w:rPr>
          <w:noProof/>
          <w:color w:val="000000"/>
          <w:sz w:val="22"/>
          <w:szCs w:val="22"/>
          <w:lang w:val="en-ID"/>
        </w:rPr>
        <w:t>(Nurisyah et al., 2024)</w:t>
      </w:r>
      <w:r w:rsidR="00066D02">
        <w:rPr>
          <w:color w:val="000000"/>
          <w:sz w:val="22"/>
          <w:szCs w:val="22"/>
          <w:lang w:val="en-ID"/>
        </w:rPr>
        <w:fldChar w:fldCharType="end"/>
      </w:r>
      <w:r w:rsidRPr="00C4749A">
        <w:rPr>
          <w:color w:val="000000"/>
          <w:sz w:val="22"/>
          <w:szCs w:val="22"/>
          <w:lang w:val="en-ID"/>
        </w:rPr>
        <w:t>.</w:t>
      </w:r>
    </w:p>
    <w:p w14:paraId="4D1A1FAB" w14:textId="77777777" w:rsidR="00A12DB7" w:rsidRDefault="00000000">
      <w:pPr>
        <w:spacing w:before="240" w:line="288" w:lineRule="auto"/>
        <w:jc w:val="both"/>
        <w:rPr>
          <w:b/>
          <w:sz w:val="22"/>
          <w:szCs w:val="22"/>
        </w:rPr>
      </w:pPr>
      <w:r>
        <w:rPr>
          <w:b/>
          <w:sz w:val="22"/>
          <w:szCs w:val="22"/>
        </w:rPr>
        <w:t xml:space="preserve">SIMPULAN </w:t>
      </w:r>
    </w:p>
    <w:p w14:paraId="241C1D4C" w14:textId="2A483610" w:rsidR="00A12DB7" w:rsidRPr="00CB4F6F" w:rsidRDefault="002B57A0" w:rsidP="00CB4F6F">
      <w:pPr>
        <w:pBdr>
          <w:top w:val="nil"/>
          <w:left w:val="nil"/>
          <w:bottom w:val="nil"/>
          <w:right w:val="nil"/>
          <w:between w:val="nil"/>
        </w:pBdr>
        <w:spacing w:after="200" w:line="360" w:lineRule="auto"/>
        <w:ind w:firstLine="426"/>
        <w:jc w:val="both"/>
        <w:rPr>
          <w:rFonts w:eastAsia="Times New Roman" w:cs="Times New Roman"/>
          <w:color w:val="000000"/>
          <w:sz w:val="22"/>
          <w:szCs w:val="22"/>
          <w:lang w:val="en-ID"/>
        </w:rPr>
      </w:pPr>
      <w:proofErr w:type="spellStart"/>
      <w:r>
        <w:rPr>
          <w:rFonts w:eastAsia="Times New Roman" w:cs="Times New Roman"/>
          <w:color w:val="000000"/>
          <w:sz w:val="22"/>
          <w:szCs w:val="22"/>
          <w:lang w:val="en-ID"/>
        </w:rPr>
        <w:t>B</w:t>
      </w:r>
      <w:r w:rsidRPr="002B57A0">
        <w:rPr>
          <w:rFonts w:eastAsia="Times New Roman" w:cs="Times New Roman"/>
          <w:color w:val="000000"/>
          <w:sz w:val="22"/>
          <w:szCs w:val="22"/>
          <w:lang w:val="en-ID"/>
        </w:rPr>
        <w:t>erdasarkan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hasil</w:t>
      </w:r>
      <w:proofErr w:type="spellEnd"/>
      <w:r w:rsidRPr="002B57A0">
        <w:rPr>
          <w:rFonts w:eastAsia="Times New Roman" w:cs="Times New Roman"/>
          <w:color w:val="000000"/>
          <w:sz w:val="22"/>
          <w:szCs w:val="22"/>
          <w:lang w:val="en-ID"/>
        </w:rPr>
        <w:t xml:space="preserve"> </w:t>
      </w:r>
      <w:r w:rsidR="0038409E" w:rsidRPr="0038409E">
        <w:rPr>
          <w:rFonts w:eastAsia="Times New Roman" w:cs="Times New Roman"/>
          <w:i/>
          <w:iCs/>
          <w:color w:val="000000"/>
          <w:sz w:val="22"/>
          <w:szCs w:val="22"/>
          <w:lang w:val="en-ID"/>
        </w:rPr>
        <w:t>molecular docking</w:t>
      </w:r>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ircinianin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menunjukkan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potensi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sebagai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kandidat</w:t>
      </w:r>
      <w:proofErr w:type="spellEnd"/>
      <w:r w:rsidRPr="002B57A0">
        <w:rPr>
          <w:rFonts w:eastAsia="Times New Roman" w:cs="Times New Roman"/>
          <w:color w:val="000000"/>
          <w:sz w:val="22"/>
          <w:szCs w:val="22"/>
          <w:lang w:val="en-ID"/>
        </w:rPr>
        <w:t xml:space="preserve"> inhibitor SGLT-2 </w:t>
      </w:r>
      <w:proofErr w:type="spellStart"/>
      <w:r w:rsidRPr="002B57A0">
        <w:rPr>
          <w:rFonts w:eastAsia="Times New Roman" w:cs="Times New Roman"/>
          <w:color w:val="000000"/>
          <w:sz w:val="22"/>
          <w:szCs w:val="22"/>
          <w:lang w:val="en-ID"/>
        </w:rPr>
        <w:t>dengan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energi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ikatan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sebesar</w:t>
      </w:r>
      <w:proofErr w:type="spellEnd"/>
      <w:r w:rsidRPr="002B57A0">
        <w:rPr>
          <w:rFonts w:eastAsia="Times New Roman" w:cs="Times New Roman"/>
          <w:color w:val="000000"/>
          <w:sz w:val="22"/>
          <w:szCs w:val="22"/>
          <w:lang w:val="en-ID"/>
        </w:rPr>
        <w:t xml:space="preserve"> -10,76 kcal/mol. Nilai </w:t>
      </w:r>
      <w:proofErr w:type="spellStart"/>
      <w:r w:rsidRPr="002B57A0">
        <w:rPr>
          <w:rFonts w:eastAsia="Times New Roman" w:cs="Times New Roman"/>
          <w:color w:val="000000"/>
          <w:sz w:val="22"/>
          <w:szCs w:val="22"/>
          <w:lang w:val="en-ID"/>
        </w:rPr>
        <w:t>ini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mendekati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energi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ikatan</w:t>
      </w:r>
      <w:proofErr w:type="spellEnd"/>
      <w:r w:rsidRPr="002B57A0">
        <w:rPr>
          <w:rFonts w:eastAsia="Times New Roman" w:cs="Times New Roman"/>
          <w:color w:val="000000"/>
          <w:sz w:val="22"/>
          <w:szCs w:val="22"/>
          <w:lang w:val="en-ID"/>
        </w:rPr>
        <w:t xml:space="preserve"> </w:t>
      </w:r>
      <w:r w:rsidRPr="002B57A0">
        <w:rPr>
          <w:rFonts w:eastAsia="Times New Roman" w:cs="Times New Roman"/>
          <w:i/>
          <w:iCs/>
          <w:color w:val="000000"/>
          <w:sz w:val="22"/>
          <w:szCs w:val="22"/>
          <w:lang w:val="en-ID"/>
        </w:rPr>
        <w:t>native ligand</w:t>
      </w:r>
      <w:r w:rsidRPr="002B57A0">
        <w:rPr>
          <w:rFonts w:eastAsia="Times New Roman" w:cs="Times New Roman"/>
          <w:color w:val="000000"/>
          <w:sz w:val="22"/>
          <w:szCs w:val="22"/>
          <w:lang w:val="en-ID"/>
        </w:rPr>
        <w:t xml:space="preserve"> (-11,46 kcal/mol), yang </w:t>
      </w:r>
      <w:proofErr w:type="spellStart"/>
      <w:r w:rsidRPr="002B57A0">
        <w:rPr>
          <w:rFonts w:eastAsia="Times New Roman" w:cs="Times New Roman"/>
          <w:color w:val="000000"/>
          <w:sz w:val="22"/>
          <w:szCs w:val="22"/>
          <w:lang w:val="en-ID"/>
        </w:rPr>
        <w:t>menunjukkan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afinitas</w:t>
      </w:r>
      <w:proofErr w:type="spellEnd"/>
      <w:r w:rsidRPr="002B57A0">
        <w:rPr>
          <w:rFonts w:eastAsia="Times New Roman" w:cs="Times New Roman"/>
          <w:color w:val="000000"/>
          <w:sz w:val="22"/>
          <w:szCs w:val="22"/>
          <w:lang w:val="en-ID"/>
        </w:rPr>
        <w:t xml:space="preserve"> yang </w:t>
      </w:r>
      <w:proofErr w:type="spellStart"/>
      <w:r w:rsidRPr="002B57A0">
        <w:rPr>
          <w:rFonts w:eastAsia="Times New Roman" w:cs="Times New Roman"/>
          <w:color w:val="000000"/>
          <w:sz w:val="22"/>
          <w:szCs w:val="22"/>
          <w:lang w:val="en-ID"/>
        </w:rPr>
        <w:t>cukup</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baik</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antara</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ircinianin</w:t>
      </w:r>
      <w:proofErr w:type="spellEnd"/>
      <w:r w:rsidRPr="002B57A0">
        <w:rPr>
          <w:rFonts w:eastAsia="Times New Roman" w:cs="Times New Roman"/>
          <w:color w:val="000000"/>
          <w:sz w:val="22"/>
          <w:szCs w:val="22"/>
          <w:lang w:val="en-ID"/>
        </w:rPr>
        <w:t xml:space="preserve"> dan </w:t>
      </w:r>
      <w:proofErr w:type="spellStart"/>
      <w:r w:rsidRPr="002B57A0">
        <w:rPr>
          <w:rFonts w:eastAsia="Times New Roman" w:cs="Times New Roman"/>
          <w:color w:val="000000"/>
          <w:sz w:val="22"/>
          <w:szCs w:val="22"/>
          <w:lang w:val="en-ID"/>
        </w:rPr>
        <w:t>reseptor</w:t>
      </w:r>
      <w:proofErr w:type="spellEnd"/>
      <w:r w:rsidRPr="002B57A0">
        <w:rPr>
          <w:rFonts w:eastAsia="Times New Roman" w:cs="Times New Roman"/>
          <w:color w:val="000000"/>
          <w:sz w:val="22"/>
          <w:szCs w:val="22"/>
          <w:lang w:val="en-ID"/>
        </w:rPr>
        <w:t xml:space="preserve"> SGLT-2.</w:t>
      </w:r>
      <w:r>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Ircinianin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membentuk</w:t>
      </w:r>
      <w:proofErr w:type="spellEnd"/>
      <w:r w:rsidRPr="002B57A0">
        <w:rPr>
          <w:rFonts w:eastAsia="Times New Roman" w:cs="Times New Roman"/>
          <w:color w:val="000000"/>
          <w:sz w:val="22"/>
          <w:szCs w:val="22"/>
          <w:lang w:val="en-ID"/>
        </w:rPr>
        <w:t xml:space="preserve"> dua </w:t>
      </w:r>
      <w:proofErr w:type="spellStart"/>
      <w:r w:rsidRPr="002B57A0">
        <w:rPr>
          <w:rFonts w:eastAsia="Times New Roman" w:cs="Times New Roman"/>
          <w:color w:val="000000"/>
          <w:sz w:val="22"/>
          <w:szCs w:val="22"/>
          <w:lang w:val="en-ID"/>
        </w:rPr>
        <w:t>ikatan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hidrogen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dengan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residu</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kunci</w:t>
      </w:r>
      <w:proofErr w:type="spellEnd"/>
      <w:r w:rsidRPr="002B57A0">
        <w:rPr>
          <w:rFonts w:eastAsia="Times New Roman" w:cs="Times New Roman"/>
          <w:color w:val="000000"/>
          <w:sz w:val="22"/>
          <w:szCs w:val="22"/>
          <w:lang w:val="en-ID"/>
        </w:rPr>
        <w:t xml:space="preserve"> PHE:98 dan TRP:291 pada situs </w:t>
      </w:r>
      <w:proofErr w:type="spellStart"/>
      <w:r w:rsidRPr="002B57A0">
        <w:rPr>
          <w:rFonts w:eastAsia="Times New Roman" w:cs="Times New Roman"/>
          <w:color w:val="000000"/>
          <w:sz w:val="22"/>
          <w:szCs w:val="22"/>
          <w:lang w:val="en-ID"/>
        </w:rPr>
        <w:t>aktif</w:t>
      </w:r>
      <w:proofErr w:type="spellEnd"/>
      <w:r w:rsidRPr="002B57A0">
        <w:rPr>
          <w:rFonts w:eastAsia="Times New Roman" w:cs="Times New Roman"/>
          <w:color w:val="000000"/>
          <w:sz w:val="22"/>
          <w:szCs w:val="22"/>
          <w:lang w:val="en-ID"/>
        </w:rPr>
        <w:t xml:space="preserve"> SGLT-2, </w:t>
      </w:r>
      <w:proofErr w:type="spellStart"/>
      <w:r w:rsidRPr="002B57A0">
        <w:rPr>
          <w:rFonts w:eastAsia="Times New Roman" w:cs="Times New Roman"/>
          <w:color w:val="000000"/>
          <w:sz w:val="22"/>
          <w:szCs w:val="22"/>
          <w:lang w:val="en-ID"/>
        </w:rPr>
        <w:t>sementara</w:t>
      </w:r>
      <w:proofErr w:type="spellEnd"/>
      <w:r w:rsidRPr="002B57A0">
        <w:rPr>
          <w:rFonts w:eastAsia="Times New Roman" w:cs="Times New Roman"/>
          <w:color w:val="000000"/>
          <w:sz w:val="22"/>
          <w:szCs w:val="22"/>
          <w:lang w:val="en-ID"/>
        </w:rPr>
        <w:t xml:space="preserve"> </w:t>
      </w:r>
      <w:r w:rsidRPr="002B57A0">
        <w:rPr>
          <w:rFonts w:eastAsia="Times New Roman" w:cs="Times New Roman"/>
          <w:i/>
          <w:iCs/>
          <w:color w:val="000000"/>
          <w:sz w:val="22"/>
          <w:szCs w:val="22"/>
          <w:lang w:val="en-ID"/>
        </w:rPr>
        <w:t>native ligand</w:t>
      </w:r>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membentuk</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empat</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ikatan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hidrogen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dengan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residu</w:t>
      </w:r>
      <w:proofErr w:type="spellEnd"/>
      <w:r w:rsidRPr="002B57A0">
        <w:rPr>
          <w:rFonts w:eastAsia="Times New Roman" w:cs="Times New Roman"/>
          <w:color w:val="000000"/>
          <w:sz w:val="22"/>
          <w:szCs w:val="22"/>
          <w:lang w:val="en-ID"/>
        </w:rPr>
        <w:t xml:space="preserve"> TRP:129, PHE:98, ASN:75, dan LYS:321. </w:t>
      </w:r>
      <w:proofErr w:type="spellStart"/>
      <w:r w:rsidRPr="002B57A0">
        <w:rPr>
          <w:rFonts w:eastAsia="Times New Roman" w:cs="Times New Roman"/>
          <w:color w:val="000000"/>
          <w:sz w:val="22"/>
          <w:szCs w:val="22"/>
          <w:lang w:val="en-ID"/>
        </w:rPr>
        <w:t>Meskipun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jumlah</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interaksi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hidrogen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ircinianin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lebih</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sedikit</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senyawa</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ini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masih</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mampu</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berinteraksi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dengan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residu</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penting</w:t>
      </w:r>
      <w:proofErr w:type="spellEnd"/>
      <w:r w:rsidRPr="002B57A0">
        <w:rPr>
          <w:rFonts w:eastAsia="Times New Roman" w:cs="Times New Roman"/>
          <w:color w:val="000000"/>
          <w:sz w:val="22"/>
          <w:szCs w:val="22"/>
          <w:lang w:val="en-ID"/>
        </w:rPr>
        <w:t xml:space="preserve"> di situs </w:t>
      </w:r>
      <w:proofErr w:type="spellStart"/>
      <w:r w:rsidRPr="002B57A0">
        <w:rPr>
          <w:rFonts w:eastAsia="Times New Roman" w:cs="Times New Roman"/>
          <w:color w:val="000000"/>
          <w:sz w:val="22"/>
          <w:szCs w:val="22"/>
          <w:lang w:val="en-ID"/>
        </w:rPr>
        <w:t>aktif</w:t>
      </w:r>
      <w:proofErr w:type="spellEnd"/>
      <w:r w:rsidRPr="002B57A0">
        <w:rPr>
          <w:rFonts w:eastAsia="Times New Roman" w:cs="Times New Roman"/>
          <w:color w:val="000000"/>
          <w:sz w:val="22"/>
          <w:szCs w:val="22"/>
          <w:lang w:val="en-ID"/>
        </w:rPr>
        <w:t>.</w:t>
      </w:r>
      <w:r>
        <w:rPr>
          <w:rFonts w:eastAsia="Times New Roman" w:cs="Times New Roman"/>
          <w:color w:val="000000"/>
          <w:sz w:val="22"/>
          <w:szCs w:val="22"/>
          <w:lang w:val="en-ID"/>
        </w:rPr>
        <w:t xml:space="preserve"> </w:t>
      </w:r>
      <w:r w:rsidRPr="002B57A0">
        <w:rPr>
          <w:rFonts w:eastAsia="Times New Roman" w:cs="Times New Roman"/>
          <w:color w:val="000000"/>
          <w:sz w:val="22"/>
          <w:szCs w:val="22"/>
          <w:lang w:val="en-ID"/>
        </w:rPr>
        <w:t xml:space="preserve">Hasil </w:t>
      </w:r>
      <w:proofErr w:type="spellStart"/>
      <w:r w:rsidRPr="002B57A0">
        <w:rPr>
          <w:rFonts w:eastAsia="Times New Roman" w:cs="Times New Roman"/>
          <w:color w:val="000000"/>
          <w:sz w:val="22"/>
          <w:szCs w:val="22"/>
          <w:lang w:val="en-ID"/>
        </w:rPr>
        <w:t>ini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menunjukkan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bahwa</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ircinianin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memiliki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potensi</w:t>
      </w:r>
      <w:proofErr w:type="spellEnd"/>
      <w:r w:rsidRPr="002B57A0">
        <w:rPr>
          <w:rFonts w:eastAsia="Times New Roman" w:cs="Times New Roman"/>
          <w:color w:val="000000"/>
          <w:sz w:val="22"/>
          <w:szCs w:val="22"/>
          <w:lang w:val="en-ID"/>
        </w:rPr>
        <w:t xml:space="preserve"> yang </w:t>
      </w:r>
      <w:proofErr w:type="spellStart"/>
      <w:r w:rsidRPr="002B57A0">
        <w:rPr>
          <w:rFonts w:eastAsia="Times New Roman" w:cs="Times New Roman"/>
          <w:color w:val="000000"/>
          <w:sz w:val="22"/>
          <w:szCs w:val="22"/>
          <w:lang w:val="en-ID"/>
        </w:rPr>
        <w:t>menjanjikan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sebagai</w:t>
      </w:r>
      <w:proofErr w:type="spellEnd"/>
      <w:r w:rsidRPr="002B57A0">
        <w:rPr>
          <w:rFonts w:eastAsia="Times New Roman" w:cs="Times New Roman"/>
          <w:color w:val="000000"/>
          <w:sz w:val="22"/>
          <w:szCs w:val="22"/>
          <w:lang w:val="en-ID"/>
        </w:rPr>
        <w:t xml:space="preserve"> inhibitor SGLT-2, </w:t>
      </w:r>
      <w:proofErr w:type="spellStart"/>
      <w:r w:rsidRPr="002B57A0">
        <w:rPr>
          <w:rFonts w:eastAsia="Times New Roman" w:cs="Times New Roman"/>
          <w:color w:val="000000"/>
          <w:sz w:val="22"/>
          <w:szCs w:val="22"/>
          <w:lang w:val="en-ID"/>
        </w:rPr>
        <w:t>meskipun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diperlukan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pengembangan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lebih</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lanjut</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untuk</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meningkatkan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stabilitas</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interaksinya</w:t>
      </w:r>
      <w:proofErr w:type="spellEnd"/>
      <w:r w:rsidRPr="002B57A0">
        <w:rPr>
          <w:rFonts w:eastAsia="Times New Roman" w:cs="Times New Roman"/>
          <w:color w:val="000000"/>
          <w:sz w:val="22"/>
          <w:szCs w:val="22"/>
          <w:lang w:val="en-ID"/>
        </w:rPr>
        <w:t xml:space="preserve">. Studi </w:t>
      </w:r>
      <w:proofErr w:type="spellStart"/>
      <w:r w:rsidRPr="002B57A0">
        <w:rPr>
          <w:rFonts w:eastAsia="Times New Roman" w:cs="Times New Roman"/>
          <w:color w:val="000000"/>
          <w:sz w:val="22"/>
          <w:szCs w:val="22"/>
          <w:lang w:val="en-ID"/>
        </w:rPr>
        <w:t>lanjutan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seperti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modifikasi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struktur</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senyawa</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atau</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simulasi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dinamika</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molekul</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direkomendasikan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untuk</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mengevaluasi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potensi</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farmakologis</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ircinianin</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secara</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lebih</w:t>
      </w:r>
      <w:proofErr w:type="spellEnd"/>
      <w:r w:rsidRPr="002B57A0">
        <w:rPr>
          <w:rFonts w:eastAsia="Times New Roman" w:cs="Times New Roman"/>
          <w:color w:val="000000"/>
          <w:sz w:val="22"/>
          <w:szCs w:val="22"/>
          <w:lang w:val="en-ID"/>
        </w:rPr>
        <w:t xml:space="preserve"> </w:t>
      </w:r>
      <w:proofErr w:type="spellStart"/>
      <w:r w:rsidRPr="002B57A0">
        <w:rPr>
          <w:rFonts w:eastAsia="Times New Roman" w:cs="Times New Roman"/>
          <w:color w:val="000000"/>
          <w:sz w:val="22"/>
          <w:szCs w:val="22"/>
          <w:lang w:val="en-ID"/>
        </w:rPr>
        <w:t>mendalam</w:t>
      </w:r>
      <w:proofErr w:type="spellEnd"/>
      <w:r w:rsidRPr="002B57A0">
        <w:rPr>
          <w:rFonts w:eastAsia="Times New Roman" w:cs="Times New Roman"/>
          <w:color w:val="000000"/>
          <w:sz w:val="22"/>
          <w:szCs w:val="22"/>
          <w:lang w:val="en-ID"/>
        </w:rPr>
        <w:t>.</w:t>
      </w:r>
    </w:p>
    <w:p w14:paraId="659CAADF" w14:textId="77777777" w:rsidR="00A12DB7" w:rsidRDefault="00000000">
      <w:pPr>
        <w:spacing w:line="288" w:lineRule="auto"/>
        <w:jc w:val="both"/>
        <w:rPr>
          <w:b/>
          <w:sz w:val="22"/>
          <w:szCs w:val="22"/>
        </w:rPr>
      </w:pPr>
      <w:r>
        <w:rPr>
          <w:b/>
          <w:sz w:val="22"/>
          <w:szCs w:val="22"/>
        </w:rPr>
        <w:t>REFERENSI</w:t>
      </w:r>
    </w:p>
    <w:p w14:paraId="46542B0B" w14:textId="77777777" w:rsidR="00E1744B" w:rsidRPr="00E1744B" w:rsidRDefault="00E1744B" w:rsidP="0012479A">
      <w:pPr>
        <w:widowControl w:val="0"/>
        <w:spacing w:line="360" w:lineRule="auto"/>
        <w:ind w:left="480" w:hanging="480"/>
        <w:jc w:val="both"/>
        <w:rPr>
          <w:rFonts w:cs="Times New Roman"/>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E1744B">
        <w:rPr>
          <w:rFonts w:cs="Times New Roman"/>
          <w:noProof/>
          <w:sz w:val="22"/>
          <w:szCs w:val="24"/>
        </w:rPr>
        <w:t xml:space="preserve">Balansa, W., Islam, R., Fontaine, F., Piggott, A. M., Zhang, H., Xiao, X., Webb, T. I., Gilbert, D. F., Lynch, J. W., &amp; Capon, R. J. (2013). Sesterterpene glycinyl-lactams: a new class of glycine receptor modulator from  Australian marine sponges of the genus Psammocinia. </w:t>
      </w:r>
      <w:r w:rsidRPr="00E1744B">
        <w:rPr>
          <w:rFonts w:cs="Times New Roman"/>
          <w:i/>
          <w:iCs/>
          <w:noProof/>
          <w:sz w:val="22"/>
          <w:szCs w:val="24"/>
        </w:rPr>
        <w:t>Organic &amp; Biomolecular Chemistry</w:t>
      </w:r>
      <w:r w:rsidRPr="00E1744B">
        <w:rPr>
          <w:rFonts w:cs="Times New Roman"/>
          <w:noProof/>
          <w:sz w:val="22"/>
          <w:szCs w:val="24"/>
        </w:rPr>
        <w:t xml:space="preserve">, </w:t>
      </w:r>
      <w:r w:rsidRPr="00E1744B">
        <w:rPr>
          <w:rFonts w:cs="Times New Roman"/>
          <w:i/>
          <w:iCs/>
          <w:noProof/>
          <w:sz w:val="22"/>
          <w:szCs w:val="24"/>
        </w:rPr>
        <w:t>11</w:t>
      </w:r>
      <w:r w:rsidRPr="00E1744B">
        <w:rPr>
          <w:rFonts w:cs="Times New Roman"/>
          <w:noProof/>
          <w:sz w:val="22"/>
          <w:szCs w:val="24"/>
        </w:rPr>
        <w:t>(28), 4695–4701. https://doi.org/10.1039/c3ob40861b</w:t>
      </w:r>
    </w:p>
    <w:p w14:paraId="26040C68"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lastRenderedPageBreak/>
        <w:t xml:space="preserve">Bell, E. W., &amp; Zhang, Y. (2019). DockRMSD: an open-source tool for atom mapping and RMSD calculation of symmetric molecules through graph isomorphism. </w:t>
      </w:r>
      <w:r w:rsidRPr="00E1744B">
        <w:rPr>
          <w:rFonts w:cs="Times New Roman"/>
          <w:i/>
          <w:iCs/>
          <w:noProof/>
          <w:sz w:val="22"/>
          <w:szCs w:val="24"/>
        </w:rPr>
        <w:t>Journal of Cheminformatics</w:t>
      </w:r>
      <w:r w:rsidRPr="00E1744B">
        <w:rPr>
          <w:rFonts w:cs="Times New Roman"/>
          <w:noProof/>
          <w:sz w:val="22"/>
          <w:szCs w:val="24"/>
        </w:rPr>
        <w:t xml:space="preserve">, </w:t>
      </w:r>
      <w:r w:rsidRPr="00E1744B">
        <w:rPr>
          <w:rFonts w:cs="Times New Roman"/>
          <w:i/>
          <w:iCs/>
          <w:noProof/>
          <w:sz w:val="22"/>
          <w:szCs w:val="24"/>
        </w:rPr>
        <w:t>11</w:t>
      </w:r>
      <w:r w:rsidRPr="00E1744B">
        <w:rPr>
          <w:rFonts w:cs="Times New Roman"/>
          <w:noProof/>
          <w:sz w:val="22"/>
          <w:szCs w:val="24"/>
        </w:rPr>
        <w:t>(1), 40. https://doi.org/10.1186/s13321-019-0362-7</w:t>
      </w:r>
    </w:p>
    <w:p w14:paraId="045CA93B"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Casertano, M., Vito, A., Aiello, A., Imperatore, C., &amp; Menna, M. (2023). Natural Bioactive Compounds from Marine Invertebrates That Modulate Key Targets Implicated in the Onset of Type 2 Diabetes Mellitus (T2DM) and Its Complications. </w:t>
      </w:r>
      <w:r w:rsidRPr="00E1744B">
        <w:rPr>
          <w:rFonts w:cs="Times New Roman"/>
          <w:i/>
          <w:iCs/>
          <w:noProof/>
          <w:sz w:val="22"/>
          <w:szCs w:val="24"/>
        </w:rPr>
        <w:t>Pharmaceutics</w:t>
      </w:r>
      <w:r w:rsidRPr="00E1744B">
        <w:rPr>
          <w:rFonts w:cs="Times New Roman"/>
          <w:noProof/>
          <w:sz w:val="22"/>
          <w:szCs w:val="24"/>
        </w:rPr>
        <w:t xml:space="preserve">, </w:t>
      </w:r>
      <w:r w:rsidRPr="00E1744B">
        <w:rPr>
          <w:rFonts w:cs="Times New Roman"/>
          <w:i/>
          <w:iCs/>
          <w:noProof/>
          <w:sz w:val="22"/>
          <w:szCs w:val="24"/>
        </w:rPr>
        <w:t>15</w:t>
      </w:r>
      <w:r w:rsidRPr="00E1744B">
        <w:rPr>
          <w:rFonts w:cs="Times New Roman"/>
          <w:noProof/>
          <w:sz w:val="22"/>
          <w:szCs w:val="24"/>
        </w:rPr>
        <w:t>(9). https://doi.org/10.3390/pharmaceutics15092321</w:t>
      </w:r>
    </w:p>
    <w:p w14:paraId="71D4FFCB"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Cloete, L. (2022). Diabetes mellitus: an overview of the types, symptoms, complications and  management. </w:t>
      </w:r>
      <w:r w:rsidRPr="00E1744B">
        <w:rPr>
          <w:rFonts w:cs="Times New Roman"/>
          <w:i/>
          <w:iCs/>
          <w:noProof/>
          <w:sz w:val="22"/>
          <w:szCs w:val="24"/>
        </w:rPr>
        <w:t>Nursing Standard (Royal College of Nursing (Great Britain) : 1987)</w:t>
      </w:r>
      <w:r w:rsidRPr="00E1744B">
        <w:rPr>
          <w:rFonts w:cs="Times New Roman"/>
          <w:noProof/>
          <w:sz w:val="22"/>
          <w:szCs w:val="24"/>
        </w:rPr>
        <w:t xml:space="preserve">, </w:t>
      </w:r>
      <w:r w:rsidRPr="00E1744B">
        <w:rPr>
          <w:rFonts w:cs="Times New Roman"/>
          <w:i/>
          <w:iCs/>
          <w:noProof/>
          <w:sz w:val="22"/>
          <w:szCs w:val="24"/>
        </w:rPr>
        <w:t>37</w:t>
      </w:r>
      <w:r w:rsidRPr="00E1744B">
        <w:rPr>
          <w:rFonts w:cs="Times New Roman"/>
          <w:noProof/>
          <w:sz w:val="22"/>
          <w:szCs w:val="24"/>
        </w:rPr>
        <w:t>(1), 61–66. https://doi.org/10.7748/ns.2021.e11709</w:t>
      </w:r>
    </w:p>
    <w:p w14:paraId="1365F3E7"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Dias, D. A., Urban, S., &amp; Roessner, U. (2012). A historical overview of natural products in drug discovery. </w:t>
      </w:r>
      <w:r w:rsidRPr="00E1744B">
        <w:rPr>
          <w:rFonts w:cs="Times New Roman"/>
          <w:i/>
          <w:iCs/>
          <w:noProof/>
          <w:sz w:val="22"/>
          <w:szCs w:val="24"/>
        </w:rPr>
        <w:t>Metabolites</w:t>
      </w:r>
      <w:r w:rsidRPr="00E1744B">
        <w:rPr>
          <w:rFonts w:cs="Times New Roman"/>
          <w:noProof/>
          <w:sz w:val="22"/>
          <w:szCs w:val="24"/>
        </w:rPr>
        <w:t xml:space="preserve">, </w:t>
      </w:r>
      <w:r w:rsidRPr="00E1744B">
        <w:rPr>
          <w:rFonts w:cs="Times New Roman"/>
          <w:i/>
          <w:iCs/>
          <w:noProof/>
          <w:sz w:val="22"/>
          <w:szCs w:val="24"/>
        </w:rPr>
        <w:t>2</w:t>
      </w:r>
      <w:r w:rsidRPr="00E1744B">
        <w:rPr>
          <w:rFonts w:cs="Times New Roman"/>
          <w:noProof/>
          <w:sz w:val="22"/>
          <w:szCs w:val="24"/>
        </w:rPr>
        <w:t>(2), 303–336. https://doi.org/10.3390/metabo2020303</w:t>
      </w:r>
    </w:p>
    <w:p w14:paraId="494AA0C9"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Fang, Y. (2012). Ligand–receptor interaction platforms and their applications for drug discovery. </w:t>
      </w:r>
      <w:r w:rsidRPr="00E1744B">
        <w:rPr>
          <w:rFonts w:cs="Times New Roman"/>
          <w:i/>
          <w:iCs/>
          <w:noProof/>
          <w:sz w:val="22"/>
          <w:szCs w:val="24"/>
        </w:rPr>
        <w:t>Expert Opinion on Drug Discovery</w:t>
      </w:r>
      <w:r w:rsidRPr="00E1744B">
        <w:rPr>
          <w:rFonts w:cs="Times New Roman"/>
          <w:noProof/>
          <w:sz w:val="22"/>
          <w:szCs w:val="24"/>
        </w:rPr>
        <w:t xml:space="preserve">, </w:t>
      </w:r>
      <w:r w:rsidRPr="00E1744B">
        <w:rPr>
          <w:rFonts w:cs="Times New Roman"/>
          <w:i/>
          <w:iCs/>
          <w:noProof/>
          <w:sz w:val="22"/>
          <w:szCs w:val="24"/>
        </w:rPr>
        <w:t>7</w:t>
      </w:r>
      <w:r w:rsidRPr="00E1744B">
        <w:rPr>
          <w:rFonts w:cs="Times New Roman"/>
          <w:noProof/>
          <w:sz w:val="22"/>
          <w:szCs w:val="24"/>
        </w:rPr>
        <w:t>(10), 969–988. https://doi.org/10.1517/17460441.2012.715631</w:t>
      </w:r>
    </w:p>
    <w:p w14:paraId="4F071DE1"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Khaerunnisa, S., Kurniawan, H., Awaluddin, R., &amp; Suhartati, S. (2020). Potential Inhibitor of COVID-19 Main Protease ( M pro ) from Several Medicinal Plant Compounds by </w:t>
      </w:r>
      <w:r w:rsidR="0038409E" w:rsidRPr="0038409E">
        <w:rPr>
          <w:rFonts w:cs="Times New Roman"/>
          <w:i/>
          <w:iCs/>
          <w:noProof/>
          <w:sz w:val="22"/>
          <w:szCs w:val="24"/>
        </w:rPr>
        <w:t>Molecular docking</w:t>
      </w:r>
      <w:r w:rsidRPr="00E1744B">
        <w:rPr>
          <w:rFonts w:cs="Times New Roman"/>
          <w:noProof/>
          <w:sz w:val="22"/>
          <w:szCs w:val="24"/>
        </w:rPr>
        <w:t xml:space="preserve"> Study. </w:t>
      </w:r>
      <w:r w:rsidRPr="00E1744B">
        <w:rPr>
          <w:rFonts w:cs="Times New Roman"/>
          <w:i/>
          <w:iCs/>
          <w:noProof/>
          <w:sz w:val="22"/>
          <w:szCs w:val="24"/>
        </w:rPr>
        <w:t>Preprints</w:t>
      </w:r>
      <w:r w:rsidRPr="00E1744B">
        <w:rPr>
          <w:rFonts w:cs="Times New Roman"/>
          <w:noProof/>
          <w:sz w:val="22"/>
          <w:szCs w:val="24"/>
        </w:rPr>
        <w:t xml:space="preserve">, </w:t>
      </w:r>
      <w:r w:rsidRPr="00E1744B">
        <w:rPr>
          <w:rFonts w:cs="Times New Roman"/>
          <w:i/>
          <w:iCs/>
          <w:noProof/>
          <w:sz w:val="22"/>
          <w:szCs w:val="24"/>
        </w:rPr>
        <w:t>March</w:t>
      </w:r>
      <w:r w:rsidRPr="00E1744B">
        <w:rPr>
          <w:rFonts w:cs="Times New Roman"/>
          <w:noProof/>
          <w:sz w:val="22"/>
          <w:szCs w:val="24"/>
        </w:rPr>
        <w:t>, 1–14. https://doi.org/10.20944/preprints202003.0226.v1</w:t>
      </w:r>
    </w:p>
    <w:p w14:paraId="5F1218ED"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Kim, S., Thiessen, P. A., Bolton, E. E., Chen, J., Fu, G., Gindulyte, A., Han, L., He, J., He, S., Shoemaker, B. A., Wang, J., Yu, B., Zhang, J., &amp; Bryant, S. H. (2016). </w:t>
      </w:r>
      <w:r w:rsidRPr="00E1744B">
        <w:rPr>
          <w:rFonts w:cs="Times New Roman"/>
          <w:i/>
          <w:iCs/>
          <w:noProof/>
          <w:sz w:val="22"/>
          <w:szCs w:val="24"/>
        </w:rPr>
        <w:t>PubChem Substance and Compound databases</w:t>
      </w:r>
      <w:r w:rsidRPr="00E1744B">
        <w:rPr>
          <w:rFonts w:cs="Times New Roman"/>
          <w:noProof/>
          <w:sz w:val="22"/>
          <w:szCs w:val="24"/>
        </w:rPr>
        <w:t xml:space="preserve">. </w:t>
      </w:r>
      <w:r w:rsidRPr="00E1744B">
        <w:rPr>
          <w:rFonts w:cs="Times New Roman"/>
          <w:i/>
          <w:iCs/>
          <w:noProof/>
          <w:sz w:val="22"/>
          <w:szCs w:val="24"/>
        </w:rPr>
        <w:t>44</w:t>
      </w:r>
      <w:r w:rsidRPr="00E1744B">
        <w:rPr>
          <w:rFonts w:cs="Times New Roman"/>
          <w:noProof/>
          <w:sz w:val="22"/>
          <w:szCs w:val="24"/>
        </w:rPr>
        <w:t>(September 2015), 1202–1213. https://doi.org/10.1093/nar/gkv951</w:t>
      </w:r>
    </w:p>
    <w:p w14:paraId="54533448"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Majer, T., Bhattarai, K., Straetener, J., Pohlmann, J., Cahill, P., Zimmermann, M. O., Hübner, M. P., Kaiser, M., Svenson, J., Schindler, M., Brötz-Oesterhelt, H., Boeckler, F. M., &amp; Gross, H. (2022). Discovery of Ircinianin Lactones B and C-Two New Cyclic Sesterterpenes from the  Marine Sponge Ircinia wistarii. </w:t>
      </w:r>
      <w:r w:rsidRPr="00E1744B">
        <w:rPr>
          <w:rFonts w:cs="Times New Roman"/>
          <w:i/>
          <w:iCs/>
          <w:noProof/>
          <w:sz w:val="22"/>
          <w:szCs w:val="24"/>
        </w:rPr>
        <w:t>Marine Drugs</w:t>
      </w:r>
      <w:r w:rsidRPr="00E1744B">
        <w:rPr>
          <w:rFonts w:cs="Times New Roman"/>
          <w:noProof/>
          <w:sz w:val="22"/>
          <w:szCs w:val="24"/>
        </w:rPr>
        <w:t xml:space="preserve">, </w:t>
      </w:r>
      <w:r w:rsidRPr="00E1744B">
        <w:rPr>
          <w:rFonts w:cs="Times New Roman"/>
          <w:i/>
          <w:iCs/>
          <w:noProof/>
          <w:sz w:val="22"/>
          <w:szCs w:val="24"/>
        </w:rPr>
        <w:t>20</w:t>
      </w:r>
      <w:r w:rsidRPr="00E1744B">
        <w:rPr>
          <w:rFonts w:cs="Times New Roman"/>
          <w:noProof/>
          <w:sz w:val="22"/>
          <w:szCs w:val="24"/>
        </w:rPr>
        <w:t>(8). https://doi.org/10.3390/md20080532</w:t>
      </w:r>
    </w:p>
    <w:p w14:paraId="1709957C"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Nugraha, A. S., Firli, L. N., Rani, D. M., Hidayatiningsih, A., Lestari, N. D., Wongso, H., Tarman, K., Rahaweman, A. C., Manurung, J., Ariantari, N. P., Papu, A., Putra, M. Y., Pratama, A. N. W., Wessjohann, L. A., &amp; Keller, P. A. (2023). Indonesian marine and its medicinal contribution. </w:t>
      </w:r>
      <w:r w:rsidRPr="00E1744B">
        <w:rPr>
          <w:rFonts w:cs="Times New Roman"/>
          <w:i/>
          <w:iCs/>
          <w:noProof/>
          <w:sz w:val="22"/>
          <w:szCs w:val="24"/>
        </w:rPr>
        <w:t>Natural Products and Bioprospecting</w:t>
      </w:r>
      <w:r w:rsidRPr="00E1744B">
        <w:rPr>
          <w:rFonts w:cs="Times New Roman"/>
          <w:noProof/>
          <w:sz w:val="22"/>
          <w:szCs w:val="24"/>
        </w:rPr>
        <w:t xml:space="preserve">, </w:t>
      </w:r>
      <w:r w:rsidRPr="00E1744B">
        <w:rPr>
          <w:rFonts w:cs="Times New Roman"/>
          <w:i/>
          <w:iCs/>
          <w:noProof/>
          <w:sz w:val="22"/>
          <w:szCs w:val="24"/>
        </w:rPr>
        <w:t>13</w:t>
      </w:r>
      <w:r w:rsidRPr="00E1744B">
        <w:rPr>
          <w:rFonts w:cs="Times New Roman"/>
          <w:noProof/>
          <w:sz w:val="22"/>
          <w:szCs w:val="24"/>
        </w:rPr>
        <w:t>(1), 1–27. https://doi.org/10.1007/s13659-023-00403-1</w:t>
      </w:r>
    </w:p>
    <w:p w14:paraId="65B87C07"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Nurisyah, Ramadhan, D. S. F., Dewi, R., Asikin, A., Daswi, D. R., Adam, A., Chaerunnimah, Sunarto, Rafika, Artati, &amp; Fakih, T. M. (2024). Targeting EGFR allosteric site with marine-natural products of Clathria Sp.: A  computational approach. </w:t>
      </w:r>
      <w:r w:rsidRPr="00E1744B">
        <w:rPr>
          <w:rFonts w:cs="Times New Roman"/>
          <w:i/>
          <w:iCs/>
          <w:noProof/>
          <w:sz w:val="22"/>
          <w:szCs w:val="24"/>
        </w:rPr>
        <w:t>Current Research in Structural Biology</w:t>
      </w:r>
      <w:r w:rsidRPr="00E1744B">
        <w:rPr>
          <w:rFonts w:cs="Times New Roman"/>
          <w:noProof/>
          <w:sz w:val="22"/>
          <w:szCs w:val="24"/>
        </w:rPr>
        <w:t xml:space="preserve">, </w:t>
      </w:r>
      <w:r w:rsidRPr="00E1744B">
        <w:rPr>
          <w:rFonts w:cs="Times New Roman"/>
          <w:i/>
          <w:iCs/>
          <w:noProof/>
          <w:sz w:val="22"/>
          <w:szCs w:val="24"/>
        </w:rPr>
        <w:t>7</w:t>
      </w:r>
      <w:r w:rsidRPr="00E1744B">
        <w:rPr>
          <w:rFonts w:cs="Times New Roman"/>
          <w:noProof/>
          <w:sz w:val="22"/>
          <w:szCs w:val="24"/>
        </w:rPr>
        <w:t>, 100125. https://doi.org/10.1016/j.crstbi.2024.100125</w:t>
      </w:r>
    </w:p>
    <w:p w14:paraId="717B0B68"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Padhi, S., Nayak, A. K., &amp; Behera, A. (2020). Type II diabetes mellitus: a review on recent drug based therapeutics. </w:t>
      </w:r>
      <w:r w:rsidRPr="00E1744B">
        <w:rPr>
          <w:rFonts w:cs="Times New Roman"/>
          <w:i/>
          <w:iCs/>
          <w:noProof/>
          <w:sz w:val="22"/>
          <w:szCs w:val="24"/>
        </w:rPr>
        <w:t>Biomedicine &amp; Pharmacotherapy = Biomedecine &amp; Pharmacotherapie</w:t>
      </w:r>
      <w:r w:rsidRPr="00E1744B">
        <w:rPr>
          <w:rFonts w:cs="Times New Roman"/>
          <w:noProof/>
          <w:sz w:val="22"/>
          <w:szCs w:val="24"/>
        </w:rPr>
        <w:t xml:space="preserve">, </w:t>
      </w:r>
      <w:r w:rsidRPr="00E1744B">
        <w:rPr>
          <w:rFonts w:cs="Times New Roman"/>
          <w:i/>
          <w:iCs/>
          <w:noProof/>
          <w:sz w:val="22"/>
          <w:szCs w:val="24"/>
        </w:rPr>
        <w:t>131</w:t>
      </w:r>
      <w:r w:rsidRPr="00E1744B">
        <w:rPr>
          <w:rFonts w:cs="Times New Roman"/>
          <w:noProof/>
          <w:sz w:val="22"/>
          <w:szCs w:val="24"/>
        </w:rPr>
        <w:t>, 110708. https://doi.org/10.1016/j.biopha.2020.110708</w:t>
      </w:r>
    </w:p>
    <w:p w14:paraId="18718015"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lastRenderedPageBreak/>
        <w:t xml:space="preserve">Ramadhan, D. S. F., Siharis, F., Abdurrahman, S., Isrul, M., &amp; Fakih, T. M. (2021). In silico analysis of marine natural product from sponge (Clathria Sp.) for their  activity as inhibitor of SARS-CoV-2 Main Protease. </w:t>
      </w:r>
      <w:r w:rsidRPr="00E1744B">
        <w:rPr>
          <w:rFonts w:cs="Times New Roman"/>
          <w:i/>
          <w:iCs/>
          <w:noProof/>
          <w:sz w:val="22"/>
          <w:szCs w:val="24"/>
        </w:rPr>
        <w:t>Journal of Biomolecular Structure &amp; Dynamics</w:t>
      </w:r>
      <w:r w:rsidRPr="00E1744B">
        <w:rPr>
          <w:rFonts w:cs="Times New Roman"/>
          <w:noProof/>
          <w:sz w:val="22"/>
          <w:szCs w:val="24"/>
        </w:rPr>
        <w:t>, 1–7. https://doi.org/10.1080/07391102.2021.1959405</w:t>
      </w:r>
    </w:p>
    <w:p w14:paraId="554B5D4D"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Ramírez, D., &amp; Caballero, J. (2018). Is It Reliable to Take the </w:t>
      </w:r>
      <w:r w:rsidR="0038409E" w:rsidRPr="0038409E">
        <w:rPr>
          <w:rFonts w:cs="Times New Roman"/>
          <w:i/>
          <w:iCs/>
          <w:noProof/>
          <w:sz w:val="22"/>
          <w:szCs w:val="24"/>
        </w:rPr>
        <w:t>Molecular docking</w:t>
      </w:r>
      <w:r w:rsidRPr="00E1744B">
        <w:rPr>
          <w:rFonts w:cs="Times New Roman"/>
          <w:noProof/>
          <w:sz w:val="22"/>
          <w:szCs w:val="24"/>
        </w:rPr>
        <w:t xml:space="preserve"> Top Scoring Position as the Best Solution without Considering Available Structural Data? </w:t>
      </w:r>
      <w:r w:rsidRPr="00E1744B">
        <w:rPr>
          <w:rFonts w:cs="Times New Roman"/>
          <w:i/>
          <w:iCs/>
          <w:noProof/>
          <w:sz w:val="22"/>
          <w:szCs w:val="24"/>
        </w:rPr>
        <w:t>Molecules</w:t>
      </w:r>
      <w:r w:rsidRPr="00E1744B">
        <w:rPr>
          <w:rFonts w:cs="Times New Roman"/>
          <w:noProof/>
          <w:sz w:val="22"/>
          <w:szCs w:val="24"/>
        </w:rPr>
        <w:t xml:space="preserve">, </w:t>
      </w:r>
      <w:r w:rsidRPr="00E1744B">
        <w:rPr>
          <w:rFonts w:cs="Times New Roman"/>
          <w:i/>
          <w:iCs/>
          <w:noProof/>
          <w:sz w:val="22"/>
          <w:szCs w:val="24"/>
        </w:rPr>
        <w:t>23</w:t>
      </w:r>
      <w:r w:rsidRPr="00E1744B">
        <w:rPr>
          <w:rFonts w:cs="Times New Roman"/>
          <w:noProof/>
          <w:sz w:val="22"/>
          <w:szCs w:val="24"/>
        </w:rPr>
        <w:t>(5), 1–17. https://doi.org/10.3390/molecules23051038</w:t>
      </w:r>
    </w:p>
    <w:p w14:paraId="47472B3D" w14:textId="77777777" w:rsidR="00E1744B" w:rsidRPr="00E1744B" w:rsidRDefault="00E1744B" w:rsidP="0012479A">
      <w:pPr>
        <w:widowControl w:val="0"/>
        <w:spacing w:line="360" w:lineRule="auto"/>
        <w:ind w:left="480" w:hanging="480"/>
        <w:jc w:val="both"/>
        <w:rPr>
          <w:rFonts w:cs="Times New Roman"/>
          <w:noProof/>
          <w:sz w:val="22"/>
          <w:szCs w:val="24"/>
        </w:rPr>
      </w:pPr>
      <w:r w:rsidRPr="00E1744B">
        <w:rPr>
          <w:rFonts w:cs="Times New Roman"/>
          <w:noProof/>
          <w:sz w:val="22"/>
          <w:szCs w:val="24"/>
        </w:rPr>
        <w:t xml:space="preserve">Syah, D., Ramadhan, F., &amp; Fakih, T. M. (2020). </w:t>
      </w:r>
      <w:r w:rsidRPr="00E1744B">
        <w:rPr>
          <w:rFonts w:cs="Times New Roman"/>
          <w:i/>
          <w:iCs/>
          <w:noProof/>
          <w:sz w:val="22"/>
          <w:szCs w:val="24"/>
        </w:rPr>
        <w:t>Activity Prediction of Bioactive Compounds Contained in Etlingera elatior Against the SARS-CoV-2 Main Protease : An In Silico Approach</w:t>
      </w:r>
      <w:r w:rsidRPr="00E1744B">
        <w:rPr>
          <w:rFonts w:cs="Times New Roman"/>
          <w:noProof/>
          <w:sz w:val="22"/>
          <w:szCs w:val="24"/>
        </w:rPr>
        <w:t xml:space="preserve">. </w:t>
      </w:r>
      <w:r w:rsidRPr="00E1744B">
        <w:rPr>
          <w:rFonts w:cs="Times New Roman"/>
          <w:i/>
          <w:iCs/>
          <w:noProof/>
          <w:sz w:val="22"/>
          <w:szCs w:val="24"/>
        </w:rPr>
        <w:t>3</w:t>
      </w:r>
      <w:r w:rsidRPr="00E1744B">
        <w:rPr>
          <w:rFonts w:cs="Times New Roman"/>
          <w:noProof/>
          <w:sz w:val="22"/>
          <w:szCs w:val="24"/>
        </w:rPr>
        <w:t>(4), 235–242.</w:t>
      </w:r>
    </w:p>
    <w:p w14:paraId="10529BF4" w14:textId="77777777" w:rsidR="00E1744B" w:rsidRPr="00E1744B" w:rsidRDefault="00E1744B" w:rsidP="0012479A">
      <w:pPr>
        <w:widowControl w:val="0"/>
        <w:spacing w:line="360" w:lineRule="auto"/>
        <w:ind w:left="480" w:hanging="480"/>
        <w:jc w:val="both"/>
        <w:rPr>
          <w:rFonts w:cs="Times New Roman"/>
          <w:noProof/>
          <w:sz w:val="22"/>
        </w:rPr>
      </w:pPr>
      <w:r w:rsidRPr="00E1744B">
        <w:rPr>
          <w:rFonts w:cs="Times New Roman"/>
          <w:noProof/>
          <w:sz w:val="22"/>
          <w:szCs w:val="24"/>
        </w:rPr>
        <w:t xml:space="preserve">Wei, D., Shi, J., Xu, H., Guo, Y., Wu, X., Chen, Z., Chen, T., Lou, H., Han, E., Han, G., Yan, Y., Liu, X., Zeng, X., Fan, C., Hou, J., Huo, W., Li, L., Jing, T., Wang, C., &amp; Mao, Z. (2024). Prospective study on the joint effect of persistent organic pollutants and  glucose metabolism on chronic kidney disease: Modifying effects of lifestyle interventions. </w:t>
      </w:r>
      <w:r w:rsidRPr="00E1744B">
        <w:rPr>
          <w:rFonts w:cs="Times New Roman"/>
          <w:i/>
          <w:iCs/>
          <w:noProof/>
          <w:sz w:val="22"/>
          <w:szCs w:val="24"/>
        </w:rPr>
        <w:t>The Science of the Total Environment</w:t>
      </w:r>
      <w:r w:rsidRPr="00E1744B">
        <w:rPr>
          <w:rFonts w:cs="Times New Roman"/>
          <w:noProof/>
          <w:sz w:val="22"/>
          <w:szCs w:val="24"/>
        </w:rPr>
        <w:t xml:space="preserve">, </w:t>
      </w:r>
      <w:r w:rsidRPr="00E1744B">
        <w:rPr>
          <w:rFonts w:cs="Times New Roman"/>
          <w:i/>
          <w:iCs/>
          <w:noProof/>
          <w:sz w:val="22"/>
          <w:szCs w:val="24"/>
        </w:rPr>
        <w:t>951</w:t>
      </w:r>
      <w:r w:rsidRPr="00E1744B">
        <w:rPr>
          <w:rFonts w:cs="Times New Roman"/>
          <w:noProof/>
          <w:sz w:val="22"/>
          <w:szCs w:val="24"/>
        </w:rPr>
        <w:t>, 175694. https://doi.org/10.1016/j.scitotenv.2024.175694</w:t>
      </w:r>
    </w:p>
    <w:p w14:paraId="4C359C7B" w14:textId="77777777" w:rsidR="00A12DB7" w:rsidRDefault="00E1744B" w:rsidP="0012479A">
      <w:pPr>
        <w:tabs>
          <w:tab w:val="left" w:pos="426"/>
        </w:tabs>
        <w:spacing w:line="360" w:lineRule="auto"/>
        <w:ind w:left="426" w:right="57" w:hanging="426"/>
        <w:jc w:val="both"/>
        <w:rPr>
          <w:sz w:val="22"/>
          <w:szCs w:val="22"/>
        </w:rPr>
      </w:pPr>
      <w:r>
        <w:rPr>
          <w:sz w:val="22"/>
          <w:szCs w:val="22"/>
        </w:rPr>
        <w:fldChar w:fldCharType="end"/>
      </w:r>
      <w:r>
        <w:rPr>
          <w:sz w:val="22"/>
          <w:szCs w:val="22"/>
        </w:rPr>
        <w:t xml:space="preserve"> </w:t>
      </w:r>
    </w:p>
    <w:sectPr w:rsidR="00A12DB7">
      <w:headerReference w:type="default" r:id="rId13"/>
      <w:footerReference w:type="default" r:id="rId14"/>
      <w:headerReference w:type="first" r:id="rId15"/>
      <w:footerReference w:type="first" r:id="rId16"/>
      <w:pgSz w:w="11907" w:h="16840"/>
      <w:pgMar w:top="1418" w:right="1134"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A82DB" w14:textId="77777777" w:rsidR="00CD08CD" w:rsidRDefault="00CD08CD">
      <w:r>
        <w:separator/>
      </w:r>
    </w:p>
  </w:endnote>
  <w:endnote w:type="continuationSeparator" w:id="0">
    <w:p w14:paraId="609A48AD" w14:textId="77777777" w:rsidR="00CD08CD" w:rsidRDefault="00CD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D358" w14:textId="77777777" w:rsidR="00A12DB7"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E835C3">
      <w:rPr>
        <w:rFonts w:eastAsia="Times New Roman" w:cs="Times New Roman"/>
        <w:noProof/>
        <w:color w:val="000000"/>
      </w:rPr>
      <w:t>2</w:t>
    </w:r>
    <w:r>
      <w:rPr>
        <w:rFonts w:eastAsia="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93AE7" w14:textId="77777777" w:rsidR="00A12DB7" w:rsidRDefault="00000000">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color w:val="000000"/>
      </w:rPr>
      <w:t xml:space="preserve"> </w:t>
    </w:r>
  </w:p>
  <w:tbl>
    <w:tblPr>
      <w:tblStyle w:val="a3"/>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A12DB7" w14:paraId="5E0E8B0A" w14:textId="77777777">
      <w:trPr>
        <w:trHeight w:val="232"/>
      </w:trPr>
      <w:tc>
        <w:tcPr>
          <w:tcW w:w="426" w:type="dxa"/>
        </w:tcPr>
        <w:p w14:paraId="65257081" w14:textId="77777777" w:rsidR="00A12DB7" w:rsidRDefault="00000000">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noProof/>
              <w:color w:val="000000"/>
            </w:rPr>
            <w:drawing>
              <wp:inline distT="0" distB="0" distL="0" distR="0" wp14:anchorId="193ADFD1" wp14:editId="02A909C1">
                <wp:extent cx="195501" cy="195501"/>
                <wp:effectExtent l="0" t="0" r="0" b="0"/>
                <wp:docPr id="1781998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501" cy="195501"/>
                        </a:xfrm>
                        <a:prstGeom prst="rect">
                          <a:avLst/>
                        </a:prstGeom>
                        <a:ln/>
                      </pic:spPr>
                    </pic:pic>
                  </a:graphicData>
                </a:graphic>
              </wp:inline>
            </w:drawing>
          </w:r>
        </w:p>
      </w:tc>
      <w:tc>
        <w:tcPr>
          <w:tcW w:w="4252" w:type="dxa"/>
        </w:tcPr>
        <w:p w14:paraId="6859F4BB" w14:textId="043D6DFB" w:rsidR="00A12DB7" w:rsidRDefault="00000000">
          <w:pPr>
            <w:pBdr>
              <w:top w:val="nil"/>
              <w:left w:val="nil"/>
              <w:bottom w:val="nil"/>
              <w:right w:val="nil"/>
              <w:between w:val="nil"/>
            </w:pBdr>
            <w:tabs>
              <w:tab w:val="center" w:pos="4680"/>
              <w:tab w:val="right" w:pos="9360"/>
            </w:tabs>
            <w:ind w:left="-78"/>
            <w:rPr>
              <w:rFonts w:eastAsia="Times New Roman" w:cs="Times New Roman"/>
              <w:color w:val="000000"/>
              <w:sz w:val="18"/>
              <w:szCs w:val="18"/>
            </w:rPr>
          </w:pPr>
          <w:proofErr w:type="spellStart"/>
          <w:proofErr w:type="gramStart"/>
          <w:r>
            <w:rPr>
              <w:rFonts w:eastAsia="Times New Roman" w:cs="Times New Roman"/>
              <w:color w:val="000000"/>
              <w:sz w:val="18"/>
              <w:szCs w:val="18"/>
            </w:rPr>
            <w:t>doi</w:t>
          </w:r>
          <w:proofErr w:type="spellEnd"/>
          <w:r>
            <w:rPr>
              <w:rFonts w:eastAsia="Times New Roman" w:cs="Times New Roman"/>
              <w:color w:val="000000"/>
              <w:sz w:val="18"/>
              <w:szCs w:val="18"/>
            </w:rPr>
            <w:t xml:space="preserve"> :</w:t>
          </w:r>
          <w:proofErr w:type="gramEnd"/>
          <w:r>
            <w:rPr>
              <w:rFonts w:eastAsia="Times New Roman" w:cs="Times New Roman"/>
              <w:color w:val="000000"/>
              <w:sz w:val="18"/>
              <w:szCs w:val="18"/>
            </w:rPr>
            <w:t xml:space="preserve"> https:</w:t>
          </w:r>
          <w:r w:rsidR="00256F0D" w:rsidRPr="00256F0D">
            <w:rPr>
              <w:rFonts w:eastAsia="Times New Roman" w:cs="Times New Roman"/>
              <w:color w:val="000000"/>
              <w:sz w:val="18"/>
              <w:szCs w:val="18"/>
            </w:rPr>
            <w:t>//doi.org/10.32665/faskes.v2i2.3514</w:t>
          </w:r>
        </w:p>
      </w:tc>
    </w:tr>
  </w:tbl>
  <w:p w14:paraId="6EF8E80E" w14:textId="77777777" w:rsidR="00A12DB7" w:rsidRDefault="00A12DB7">
    <w:pPr>
      <w:pBdr>
        <w:top w:val="nil"/>
        <w:left w:val="nil"/>
        <w:bottom w:val="nil"/>
        <w:right w:val="nil"/>
        <w:between w:val="nil"/>
      </w:pBdr>
      <w:tabs>
        <w:tab w:val="center" w:pos="4680"/>
        <w:tab w:val="right" w:pos="9360"/>
      </w:tabs>
      <w:rPr>
        <w:rFonts w:eastAsia="Times New Roman" w:cs="Times New Roman"/>
        <w:color w:val="000000"/>
      </w:rPr>
    </w:pPr>
  </w:p>
  <w:p w14:paraId="5DEB50BA" w14:textId="77777777" w:rsidR="00A12DB7" w:rsidRDefault="00A12DB7">
    <w:pPr>
      <w:pBdr>
        <w:top w:val="nil"/>
        <w:left w:val="nil"/>
        <w:bottom w:val="nil"/>
        <w:right w:val="nil"/>
        <w:between w:val="nil"/>
      </w:pBdr>
      <w:tabs>
        <w:tab w:val="center" w:pos="4680"/>
        <w:tab w:val="right" w:pos="9360"/>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17715" w14:textId="77777777" w:rsidR="00CD08CD" w:rsidRDefault="00CD08CD">
      <w:r>
        <w:separator/>
      </w:r>
    </w:p>
  </w:footnote>
  <w:footnote w:type="continuationSeparator" w:id="0">
    <w:p w14:paraId="6C821D74" w14:textId="77777777" w:rsidR="00CD08CD" w:rsidRDefault="00CD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26C65" w14:textId="77777777" w:rsidR="00A12DB7" w:rsidRDefault="00A12DB7">
    <w:pPr>
      <w:widowControl w:val="0"/>
      <w:pBdr>
        <w:top w:val="nil"/>
        <w:left w:val="nil"/>
        <w:bottom w:val="nil"/>
        <w:right w:val="nil"/>
        <w:between w:val="nil"/>
      </w:pBdr>
      <w:spacing w:line="276" w:lineRule="auto"/>
      <w:rPr>
        <w:rFonts w:eastAsia="Times New Roman" w:cs="Times New Roman"/>
        <w:color w:val="000000"/>
      </w:rPr>
    </w:pPr>
  </w:p>
  <w:tbl>
    <w:tblPr>
      <w:tblStyle w:val="a2"/>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A12DB7" w14:paraId="3E7A5FFE" w14:textId="77777777">
      <w:tc>
        <w:tcPr>
          <w:tcW w:w="878" w:type="dxa"/>
          <w:vMerge w:val="restart"/>
        </w:tcPr>
        <w:p w14:paraId="4CB569AF" w14:textId="77777777" w:rsidR="00A12DB7"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3B718904" wp14:editId="0DA235F9">
                <wp:extent cx="443077" cy="443077"/>
                <wp:effectExtent l="0" t="0" r="0" b="0"/>
                <wp:docPr id="17819985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66A43650" w14:textId="77777777" w:rsidR="00A12DB7" w:rsidRDefault="0000000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44C48FCD" w14:textId="77777777" w:rsidR="00A12DB7" w:rsidRDefault="00A12DB7">
          <w:pPr>
            <w:pBdr>
              <w:top w:val="nil"/>
              <w:left w:val="nil"/>
              <w:bottom w:val="nil"/>
              <w:right w:val="nil"/>
              <w:between w:val="nil"/>
            </w:pBdr>
            <w:tabs>
              <w:tab w:val="center" w:pos="4680"/>
              <w:tab w:val="right" w:pos="9360"/>
            </w:tabs>
            <w:jc w:val="right"/>
            <w:rPr>
              <w:rFonts w:eastAsia="Times New Roman" w:cs="Times New Roman"/>
              <w:color w:val="000000"/>
            </w:rPr>
          </w:pPr>
        </w:p>
        <w:p w14:paraId="43CD8529" w14:textId="77777777" w:rsidR="00A12DB7" w:rsidRDefault="0000000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A12DB7" w14:paraId="707FA66B" w14:textId="77777777">
      <w:tc>
        <w:tcPr>
          <w:tcW w:w="878" w:type="dxa"/>
          <w:vMerge/>
        </w:tcPr>
        <w:p w14:paraId="77C174E7" w14:textId="77777777" w:rsidR="00A12DB7" w:rsidRDefault="00A12DB7">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53AEB5C2" w14:textId="7DFF55BF" w:rsidR="00A12DB7" w:rsidRDefault="00256F0D">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 02, No. 02, (November 2024),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r>
            <w:rPr>
              <w:noProof/>
            </w:rPr>
            <mc:AlternateContent>
              <mc:Choice Requires="wps">
                <w:drawing>
                  <wp:anchor distT="0" distB="0" distL="114300" distR="114300" simplePos="0" relativeHeight="251658240" behindDoc="0" locked="0" layoutInCell="1" hidden="0" allowOverlap="1" wp14:anchorId="22FD4AEE" wp14:editId="6A304C26">
                    <wp:simplePos x="0" y="0"/>
                    <wp:positionH relativeFrom="column">
                      <wp:posOffset>-50799</wp:posOffset>
                    </wp:positionH>
                    <wp:positionV relativeFrom="paragraph">
                      <wp:posOffset>0</wp:posOffset>
                    </wp:positionV>
                    <wp:extent cx="0" cy="19050"/>
                    <wp:effectExtent l="0" t="0" r="0" b="0"/>
                    <wp:wrapNone/>
                    <wp:docPr id="1781998527" name="Straight Arrow Connector 1781998527"/>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9050"/>
                    <wp:effectExtent b="0" l="0" r="0" t="0"/>
                    <wp:wrapNone/>
                    <wp:docPr id="178199852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tc>
    </w:tr>
  </w:tbl>
  <w:p w14:paraId="6C2059FE" w14:textId="77777777" w:rsidR="00A12DB7" w:rsidRDefault="00A12DB7">
    <w:pPr>
      <w:pBdr>
        <w:top w:val="nil"/>
        <w:left w:val="nil"/>
        <w:bottom w:val="nil"/>
        <w:right w:val="nil"/>
        <w:between w:val="nil"/>
      </w:pBdr>
      <w:tabs>
        <w:tab w:val="center" w:pos="4680"/>
        <w:tab w:val="right" w:pos="9360"/>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E3E6" w14:textId="77777777" w:rsidR="00A12DB7" w:rsidRDefault="00A12DB7">
    <w:pPr>
      <w:widowControl w:val="0"/>
      <w:pBdr>
        <w:top w:val="nil"/>
        <w:left w:val="nil"/>
        <w:bottom w:val="nil"/>
        <w:right w:val="nil"/>
        <w:between w:val="nil"/>
      </w:pBdr>
      <w:spacing w:line="276" w:lineRule="auto"/>
      <w:rPr>
        <w:sz w:val="22"/>
        <w:szCs w:val="22"/>
      </w:rPr>
    </w:pPr>
  </w:p>
  <w:tbl>
    <w:tblPr>
      <w:tblStyle w:val="a1"/>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A12DB7" w14:paraId="66F2C016" w14:textId="77777777" w:rsidTr="00CB4F6F">
      <w:tc>
        <w:tcPr>
          <w:tcW w:w="878" w:type="dxa"/>
          <w:vMerge w:val="restart"/>
          <w:tcBorders>
            <w:bottom w:val="nil"/>
            <w:right w:val="nil"/>
          </w:tcBorders>
        </w:tcPr>
        <w:p w14:paraId="514AB5E3" w14:textId="77777777" w:rsidR="00A12DB7"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59E636C7" wp14:editId="6FD05C7D">
                <wp:extent cx="443077" cy="443077"/>
                <wp:effectExtent l="0" t="0" r="0" b="0"/>
                <wp:docPr id="1781998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3A309C4F" w14:textId="77777777" w:rsidR="00A12DB7" w:rsidRDefault="0000000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Borders>
            <w:top w:val="nil"/>
            <w:left w:val="nil"/>
            <w:bottom w:val="nil"/>
            <w:right w:val="nil"/>
          </w:tcBorders>
        </w:tcPr>
        <w:p w14:paraId="75E94A2E" w14:textId="77777777" w:rsidR="00A12DB7" w:rsidRDefault="00A12DB7">
          <w:pPr>
            <w:pBdr>
              <w:top w:val="nil"/>
              <w:left w:val="nil"/>
              <w:bottom w:val="nil"/>
              <w:right w:val="nil"/>
              <w:between w:val="nil"/>
            </w:pBdr>
            <w:tabs>
              <w:tab w:val="center" w:pos="4680"/>
              <w:tab w:val="right" w:pos="9360"/>
            </w:tabs>
            <w:jc w:val="right"/>
            <w:rPr>
              <w:rFonts w:eastAsia="Times New Roman" w:cs="Times New Roman"/>
              <w:color w:val="000000"/>
            </w:rPr>
          </w:pPr>
        </w:p>
        <w:p w14:paraId="11CFAB7E" w14:textId="77777777" w:rsidR="00A12DB7" w:rsidRDefault="0000000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A12DB7" w14:paraId="0F9640E4" w14:textId="77777777" w:rsidTr="00CB4F6F">
      <w:tc>
        <w:tcPr>
          <w:tcW w:w="878" w:type="dxa"/>
          <w:vMerge/>
          <w:tcBorders>
            <w:top w:val="nil"/>
          </w:tcBorders>
        </w:tcPr>
        <w:p w14:paraId="09BFF87E" w14:textId="77777777" w:rsidR="00A12DB7" w:rsidRDefault="00A12DB7">
          <w:pPr>
            <w:widowControl w:val="0"/>
            <w:pBdr>
              <w:top w:val="nil"/>
              <w:left w:val="nil"/>
              <w:bottom w:val="nil"/>
              <w:right w:val="nil"/>
              <w:between w:val="nil"/>
            </w:pBdr>
            <w:spacing w:line="276" w:lineRule="auto"/>
            <w:rPr>
              <w:rFonts w:eastAsia="Times New Roman" w:cs="Times New Roman"/>
              <w:color w:val="000000"/>
            </w:rPr>
          </w:pPr>
        </w:p>
      </w:tc>
      <w:tc>
        <w:tcPr>
          <w:tcW w:w="8057" w:type="dxa"/>
          <w:tcBorders>
            <w:top w:val="nil"/>
          </w:tcBorders>
        </w:tcPr>
        <w:p w14:paraId="24ACADDA" w14:textId="4456CD15" w:rsidR="00A12DB7" w:rsidRDefault="00000000">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 xml:space="preserve">Vol. </w:t>
          </w:r>
          <w:r w:rsidR="00CB4F6F">
            <w:rPr>
              <w:rFonts w:eastAsia="Times New Roman" w:cs="Times New Roman"/>
              <w:color w:val="000000"/>
            </w:rPr>
            <w:t>02</w:t>
          </w:r>
          <w:r>
            <w:rPr>
              <w:rFonts w:eastAsia="Times New Roman" w:cs="Times New Roman"/>
              <w:color w:val="000000"/>
            </w:rPr>
            <w:t>, No.</w:t>
          </w:r>
          <w:r w:rsidR="00CB4F6F">
            <w:rPr>
              <w:rFonts w:eastAsia="Times New Roman" w:cs="Times New Roman"/>
              <w:color w:val="000000"/>
            </w:rPr>
            <w:t xml:space="preserve"> 02</w:t>
          </w:r>
          <w:r>
            <w:rPr>
              <w:rFonts w:eastAsia="Times New Roman" w:cs="Times New Roman"/>
              <w:color w:val="000000"/>
            </w:rPr>
            <w:t>, (</w:t>
          </w:r>
          <w:r w:rsidR="00CB4F6F">
            <w:rPr>
              <w:rFonts w:eastAsia="Times New Roman" w:cs="Times New Roman"/>
              <w:color w:val="000000"/>
            </w:rPr>
            <w:t>November</w:t>
          </w:r>
          <w:r>
            <w:rPr>
              <w:rFonts w:eastAsia="Times New Roman" w:cs="Times New Roman"/>
              <w:color w:val="000000"/>
            </w:rPr>
            <w:t xml:space="preserve"> </w:t>
          </w:r>
          <w:r w:rsidR="00CB4F6F">
            <w:rPr>
              <w:rFonts w:eastAsia="Times New Roman" w:cs="Times New Roman"/>
              <w:color w:val="000000"/>
            </w:rPr>
            <w:t>2024</w:t>
          </w:r>
          <w:r>
            <w:rPr>
              <w:rFonts w:eastAsia="Times New Roman" w:cs="Times New Roman"/>
              <w:color w:val="000000"/>
            </w:rPr>
            <w:t>),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r>
            <w:rPr>
              <w:noProof/>
            </w:rPr>
            <mc:AlternateContent>
              <mc:Choice Requires="wps">
                <w:drawing>
                  <wp:anchor distT="0" distB="0" distL="114300" distR="114300" simplePos="0" relativeHeight="251659264" behindDoc="0" locked="0" layoutInCell="1" hidden="0" allowOverlap="1" wp14:anchorId="27790C57" wp14:editId="69DB32DB">
                    <wp:simplePos x="0" y="0"/>
                    <wp:positionH relativeFrom="column">
                      <wp:posOffset>-50799</wp:posOffset>
                    </wp:positionH>
                    <wp:positionV relativeFrom="paragraph">
                      <wp:posOffset>0</wp:posOffset>
                    </wp:positionV>
                    <wp:extent cx="0" cy="19050"/>
                    <wp:effectExtent l="0" t="0" r="0" b="0"/>
                    <wp:wrapNone/>
                    <wp:docPr id="1781998528" name="Straight Arrow Connector 1781998528"/>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9050"/>
                    <wp:effectExtent b="0" l="0" r="0" t="0"/>
                    <wp:wrapNone/>
                    <wp:docPr id="178199852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tc>
    </w:tr>
  </w:tbl>
  <w:p w14:paraId="12442341" w14:textId="77777777" w:rsidR="00A12DB7" w:rsidRDefault="00A12DB7">
    <w:pPr>
      <w:pBdr>
        <w:top w:val="nil"/>
        <w:left w:val="nil"/>
        <w:bottom w:val="nil"/>
        <w:right w:val="nil"/>
        <w:between w:val="nil"/>
      </w:pBdr>
      <w:tabs>
        <w:tab w:val="center" w:pos="4680"/>
        <w:tab w:val="right" w:pos="9360"/>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72865"/>
    <w:multiLevelType w:val="hybridMultilevel"/>
    <w:tmpl w:val="E96A03C6"/>
    <w:lvl w:ilvl="0" w:tplc="4470D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22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B7"/>
    <w:rsid w:val="00036F2B"/>
    <w:rsid w:val="00066D02"/>
    <w:rsid w:val="000E61CA"/>
    <w:rsid w:val="000F38F9"/>
    <w:rsid w:val="0012479A"/>
    <w:rsid w:val="00185360"/>
    <w:rsid w:val="001D3CED"/>
    <w:rsid w:val="001E042A"/>
    <w:rsid w:val="00216A31"/>
    <w:rsid w:val="00256F0D"/>
    <w:rsid w:val="00283F41"/>
    <w:rsid w:val="002A55C4"/>
    <w:rsid w:val="002B57A0"/>
    <w:rsid w:val="002F2953"/>
    <w:rsid w:val="00324CCD"/>
    <w:rsid w:val="00356BB8"/>
    <w:rsid w:val="0037489B"/>
    <w:rsid w:val="0038409E"/>
    <w:rsid w:val="0038742B"/>
    <w:rsid w:val="003C4D17"/>
    <w:rsid w:val="00434264"/>
    <w:rsid w:val="00476E85"/>
    <w:rsid w:val="0055003B"/>
    <w:rsid w:val="00576314"/>
    <w:rsid w:val="00583F9B"/>
    <w:rsid w:val="005E5986"/>
    <w:rsid w:val="005F4F45"/>
    <w:rsid w:val="005F7F1F"/>
    <w:rsid w:val="00601074"/>
    <w:rsid w:val="006266ED"/>
    <w:rsid w:val="00662F84"/>
    <w:rsid w:val="00681E51"/>
    <w:rsid w:val="00693E9C"/>
    <w:rsid w:val="006D16D8"/>
    <w:rsid w:val="007517C7"/>
    <w:rsid w:val="007F785A"/>
    <w:rsid w:val="0080294C"/>
    <w:rsid w:val="00815DEF"/>
    <w:rsid w:val="008303AB"/>
    <w:rsid w:val="0087274E"/>
    <w:rsid w:val="00882090"/>
    <w:rsid w:val="008C341E"/>
    <w:rsid w:val="0096528A"/>
    <w:rsid w:val="00990424"/>
    <w:rsid w:val="009F36CA"/>
    <w:rsid w:val="00A12DB7"/>
    <w:rsid w:val="00A93266"/>
    <w:rsid w:val="00B21BAF"/>
    <w:rsid w:val="00B502E1"/>
    <w:rsid w:val="00B83120"/>
    <w:rsid w:val="00B92AA6"/>
    <w:rsid w:val="00B96FCA"/>
    <w:rsid w:val="00BC0BB5"/>
    <w:rsid w:val="00C06867"/>
    <w:rsid w:val="00C43D69"/>
    <w:rsid w:val="00C4749A"/>
    <w:rsid w:val="00C70BE8"/>
    <w:rsid w:val="00C80CB5"/>
    <w:rsid w:val="00CA1150"/>
    <w:rsid w:val="00CB4F6F"/>
    <w:rsid w:val="00CB7B17"/>
    <w:rsid w:val="00CC1F28"/>
    <w:rsid w:val="00CD08CD"/>
    <w:rsid w:val="00CF4118"/>
    <w:rsid w:val="00CF6366"/>
    <w:rsid w:val="00CF7644"/>
    <w:rsid w:val="00D27667"/>
    <w:rsid w:val="00DB757D"/>
    <w:rsid w:val="00DE03CF"/>
    <w:rsid w:val="00E1744B"/>
    <w:rsid w:val="00E174B3"/>
    <w:rsid w:val="00E25808"/>
    <w:rsid w:val="00E36CCD"/>
    <w:rsid w:val="00E67E8A"/>
    <w:rsid w:val="00E835C3"/>
    <w:rsid w:val="00EA11EB"/>
    <w:rsid w:val="00ED5D16"/>
    <w:rsid w:val="00F22D99"/>
    <w:rsid w:val="00F30424"/>
    <w:rsid w:val="00F60CE6"/>
    <w:rsid w:val="00F7335E"/>
    <w:rsid w:val="00F90D94"/>
    <w:rsid w:val="00FA43A9"/>
    <w:rsid w:val="00FB2CAE"/>
    <w:rsid w:val="00FE06DC"/>
    <w:rsid w:val="00FF1B3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CA2C8"/>
  <w15:docId w15:val="{60953B35-FC35-43F9-B0C2-5395040E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E1"/>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5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basedOn w:val="Normal"/>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styleId="UnresolvedMention">
    <w:name w:val="Unresolved Mention"/>
    <w:basedOn w:val="DefaultParagraphFont"/>
    <w:uiPriority w:val="99"/>
    <w:semiHidden/>
    <w:unhideWhenUsed/>
    <w:rsid w:val="00B91F16"/>
    <w:rPr>
      <w:color w:val="605E5C"/>
      <w:shd w:val="clear" w:color="auto" w:fill="E1DFDD"/>
    </w:rPr>
  </w:style>
  <w:style w:type="table" w:styleId="PlainTable4">
    <w:name w:val="Plain Table 4"/>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customStyle="1" w:styleId="TableParagraph">
    <w:name w:val="Table Paragraph"/>
    <w:basedOn w:val="Normal"/>
    <w:uiPriority w:val="1"/>
    <w:qFormat/>
    <w:rsid w:val="00CF7644"/>
    <w:pPr>
      <w:widowControl w:val="0"/>
      <w:overflowPunct/>
      <w:adjustRightInd/>
      <w:textAlignment w:val="auto"/>
    </w:pPr>
    <w:rPr>
      <w:rFonts w:eastAsia="Times New Roman" w:cs="Times New Roman"/>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8579">
      <w:bodyDiv w:val="1"/>
      <w:marLeft w:val="0"/>
      <w:marRight w:val="0"/>
      <w:marTop w:val="0"/>
      <w:marBottom w:val="0"/>
      <w:divBdr>
        <w:top w:val="none" w:sz="0" w:space="0" w:color="auto"/>
        <w:left w:val="none" w:sz="0" w:space="0" w:color="auto"/>
        <w:bottom w:val="none" w:sz="0" w:space="0" w:color="auto"/>
        <w:right w:val="none" w:sz="0" w:space="0" w:color="auto"/>
      </w:divBdr>
    </w:div>
    <w:div w:id="341204146">
      <w:bodyDiv w:val="1"/>
      <w:marLeft w:val="0"/>
      <w:marRight w:val="0"/>
      <w:marTop w:val="0"/>
      <w:marBottom w:val="0"/>
      <w:divBdr>
        <w:top w:val="none" w:sz="0" w:space="0" w:color="auto"/>
        <w:left w:val="none" w:sz="0" w:space="0" w:color="auto"/>
        <w:bottom w:val="none" w:sz="0" w:space="0" w:color="auto"/>
        <w:right w:val="none" w:sz="0" w:space="0" w:color="auto"/>
      </w:divBdr>
    </w:div>
    <w:div w:id="363142664">
      <w:bodyDiv w:val="1"/>
      <w:marLeft w:val="0"/>
      <w:marRight w:val="0"/>
      <w:marTop w:val="0"/>
      <w:marBottom w:val="0"/>
      <w:divBdr>
        <w:top w:val="none" w:sz="0" w:space="0" w:color="auto"/>
        <w:left w:val="none" w:sz="0" w:space="0" w:color="auto"/>
        <w:bottom w:val="none" w:sz="0" w:space="0" w:color="auto"/>
        <w:right w:val="none" w:sz="0" w:space="0" w:color="auto"/>
      </w:divBdr>
    </w:div>
    <w:div w:id="432164554">
      <w:bodyDiv w:val="1"/>
      <w:marLeft w:val="0"/>
      <w:marRight w:val="0"/>
      <w:marTop w:val="0"/>
      <w:marBottom w:val="0"/>
      <w:divBdr>
        <w:top w:val="none" w:sz="0" w:space="0" w:color="auto"/>
        <w:left w:val="none" w:sz="0" w:space="0" w:color="auto"/>
        <w:bottom w:val="none" w:sz="0" w:space="0" w:color="auto"/>
        <w:right w:val="none" w:sz="0" w:space="0" w:color="auto"/>
      </w:divBdr>
    </w:div>
    <w:div w:id="555822001">
      <w:bodyDiv w:val="1"/>
      <w:marLeft w:val="0"/>
      <w:marRight w:val="0"/>
      <w:marTop w:val="0"/>
      <w:marBottom w:val="0"/>
      <w:divBdr>
        <w:top w:val="none" w:sz="0" w:space="0" w:color="auto"/>
        <w:left w:val="none" w:sz="0" w:space="0" w:color="auto"/>
        <w:bottom w:val="none" w:sz="0" w:space="0" w:color="auto"/>
        <w:right w:val="none" w:sz="0" w:space="0" w:color="auto"/>
      </w:divBdr>
    </w:div>
    <w:div w:id="579800145">
      <w:bodyDiv w:val="1"/>
      <w:marLeft w:val="0"/>
      <w:marRight w:val="0"/>
      <w:marTop w:val="0"/>
      <w:marBottom w:val="0"/>
      <w:divBdr>
        <w:top w:val="none" w:sz="0" w:space="0" w:color="auto"/>
        <w:left w:val="none" w:sz="0" w:space="0" w:color="auto"/>
        <w:bottom w:val="none" w:sz="0" w:space="0" w:color="auto"/>
        <w:right w:val="none" w:sz="0" w:space="0" w:color="auto"/>
      </w:divBdr>
    </w:div>
    <w:div w:id="770515666">
      <w:bodyDiv w:val="1"/>
      <w:marLeft w:val="0"/>
      <w:marRight w:val="0"/>
      <w:marTop w:val="0"/>
      <w:marBottom w:val="0"/>
      <w:divBdr>
        <w:top w:val="none" w:sz="0" w:space="0" w:color="auto"/>
        <w:left w:val="none" w:sz="0" w:space="0" w:color="auto"/>
        <w:bottom w:val="none" w:sz="0" w:space="0" w:color="auto"/>
        <w:right w:val="none" w:sz="0" w:space="0" w:color="auto"/>
      </w:divBdr>
    </w:div>
    <w:div w:id="784737176">
      <w:bodyDiv w:val="1"/>
      <w:marLeft w:val="0"/>
      <w:marRight w:val="0"/>
      <w:marTop w:val="0"/>
      <w:marBottom w:val="0"/>
      <w:divBdr>
        <w:top w:val="none" w:sz="0" w:space="0" w:color="auto"/>
        <w:left w:val="none" w:sz="0" w:space="0" w:color="auto"/>
        <w:bottom w:val="none" w:sz="0" w:space="0" w:color="auto"/>
        <w:right w:val="none" w:sz="0" w:space="0" w:color="auto"/>
      </w:divBdr>
    </w:div>
    <w:div w:id="887451571">
      <w:bodyDiv w:val="1"/>
      <w:marLeft w:val="0"/>
      <w:marRight w:val="0"/>
      <w:marTop w:val="0"/>
      <w:marBottom w:val="0"/>
      <w:divBdr>
        <w:top w:val="none" w:sz="0" w:space="0" w:color="auto"/>
        <w:left w:val="none" w:sz="0" w:space="0" w:color="auto"/>
        <w:bottom w:val="none" w:sz="0" w:space="0" w:color="auto"/>
        <w:right w:val="none" w:sz="0" w:space="0" w:color="auto"/>
      </w:divBdr>
    </w:div>
    <w:div w:id="1039090824">
      <w:bodyDiv w:val="1"/>
      <w:marLeft w:val="0"/>
      <w:marRight w:val="0"/>
      <w:marTop w:val="0"/>
      <w:marBottom w:val="0"/>
      <w:divBdr>
        <w:top w:val="none" w:sz="0" w:space="0" w:color="auto"/>
        <w:left w:val="none" w:sz="0" w:space="0" w:color="auto"/>
        <w:bottom w:val="none" w:sz="0" w:space="0" w:color="auto"/>
        <w:right w:val="none" w:sz="0" w:space="0" w:color="auto"/>
      </w:divBdr>
    </w:div>
    <w:div w:id="1073502153">
      <w:bodyDiv w:val="1"/>
      <w:marLeft w:val="0"/>
      <w:marRight w:val="0"/>
      <w:marTop w:val="0"/>
      <w:marBottom w:val="0"/>
      <w:divBdr>
        <w:top w:val="none" w:sz="0" w:space="0" w:color="auto"/>
        <w:left w:val="none" w:sz="0" w:space="0" w:color="auto"/>
        <w:bottom w:val="none" w:sz="0" w:space="0" w:color="auto"/>
        <w:right w:val="none" w:sz="0" w:space="0" w:color="auto"/>
      </w:divBdr>
    </w:div>
    <w:div w:id="1186600545">
      <w:bodyDiv w:val="1"/>
      <w:marLeft w:val="0"/>
      <w:marRight w:val="0"/>
      <w:marTop w:val="0"/>
      <w:marBottom w:val="0"/>
      <w:divBdr>
        <w:top w:val="none" w:sz="0" w:space="0" w:color="auto"/>
        <w:left w:val="none" w:sz="0" w:space="0" w:color="auto"/>
        <w:bottom w:val="none" w:sz="0" w:space="0" w:color="auto"/>
        <w:right w:val="none" w:sz="0" w:space="0" w:color="auto"/>
      </w:divBdr>
    </w:div>
    <w:div w:id="1240290228">
      <w:bodyDiv w:val="1"/>
      <w:marLeft w:val="0"/>
      <w:marRight w:val="0"/>
      <w:marTop w:val="0"/>
      <w:marBottom w:val="0"/>
      <w:divBdr>
        <w:top w:val="none" w:sz="0" w:space="0" w:color="auto"/>
        <w:left w:val="none" w:sz="0" w:space="0" w:color="auto"/>
        <w:bottom w:val="none" w:sz="0" w:space="0" w:color="auto"/>
        <w:right w:val="none" w:sz="0" w:space="0" w:color="auto"/>
      </w:divBdr>
    </w:div>
    <w:div w:id="1401445197">
      <w:bodyDiv w:val="1"/>
      <w:marLeft w:val="0"/>
      <w:marRight w:val="0"/>
      <w:marTop w:val="0"/>
      <w:marBottom w:val="0"/>
      <w:divBdr>
        <w:top w:val="none" w:sz="0" w:space="0" w:color="auto"/>
        <w:left w:val="none" w:sz="0" w:space="0" w:color="auto"/>
        <w:bottom w:val="none" w:sz="0" w:space="0" w:color="auto"/>
        <w:right w:val="none" w:sz="0" w:space="0" w:color="auto"/>
      </w:divBdr>
    </w:div>
    <w:div w:id="1505586721">
      <w:bodyDiv w:val="1"/>
      <w:marLeft w:val="0"/>
      <w:marRight w:val="0"/>
      <w:marTop w:val="0"/>
      <w:marBottom w:val="0"/>
      <w:divBdr>
        <w:top w:val="none" w:sz="0" w:space="0" w:color="auto"/>
        <w:left w:val="none" w:sz="0" w:space="0" w:color="auto"/>
        <w:bottom w:val="none" w:sz="0" w:space="0" w:color="auto"/>
        <w:right w:val="none" w:sz="0" w:space="0" w:color="auto"/>
      </w:divBdr>
    </w:div>
    <w:div w:id="1518739006">
      <w:bodyDiv w:val="1"/>
      <w:marLeft w:val="0"/>
      <w:marRight w:val="0"/>
      <w:marTop w:val="0"/>
      <w:marBottom w:val="0"/>
      <w:divBdr>
        <w:top w:val="none" w:sz="0" w:space="0" w:color="auto"/>
        <w:left w:val="none" w:sz="0" w:space="0" w:color="auto"/>
        <w:bottom w:val="none" w:sz="0" w:space="0" w:color="auto"/>
        <w:right w:val="none" w:sz="0" w:space="0" w:color="auto"/>
      </w:divBdr>
    </w:div>
    <w:div w:id="1584872812">
      <w:bodyDiv w:val="1"/>
      <w:marLeft w:val="0"/>
      <w:marRight w:val="0"/>
      <w:marTop w:val="0"/>
      <w:marBottom w:val="0"/>
      <w:divBdr>
        <w:top w:val="none" w:sz="0" w:space="0" w:color="auto"/>
        <w:left w:val="none" w:sz="0" w:space="0" w:color="auto"/>
        <w:bottom w:val="none" w:sz="0" w:space="0" w:color="auto"/>
        <w:right w:val="none" w:sz="0" w:space="0" w:color="auto"/>
      </w:divBdr>
    </w:div>
    <w:div w:id="1711757793">
      <w:bodyDiv w:val="1"/>
      <w:marLeft w:val="0"/>
      <w:marRight w:val="0"/>
      <w:marTop w:val="0"/>
      <w:marBottom w:val="0"/>
      <w:divBdr>
        <w:top w:val="none" w:sz="0" w:space="0" w:color="auto"/>
        <w:left w:val="none" w:sz="0" w:space="0" w:color="auto"/>
        <w:bottom w:val="none" w:sz="0" w:space="0" w:color="auto"/>
        <w:right w:val="none" w:sz="0" w:space="0" w:color="auto"/>
      </w:divBdr>
    </w:div>
    <w:div w:id="1848406061">
      <w:bodyDiv w:val="1"/>
      <w:marLeft w:val="0"/>
      <w:marRight w:val="0"/>
      <w:marTop w:val="0"/>
      <w:marBottom w:val="0"/>
      <w:divBdr>
        <w:top w:val="none" w:sz="0" w:space="0" w:color="auto"/>
        <w:left w:val="none" w:sz="0" w:space="0" w:color="auto"/>
        <w:bottom w:val="none" w:sz="0" w:space="0" w:color="auto"/>
        <w:right w:val="none" w:sz="0" w:space="0" w:color="auto"/>
      </w:divBdr>
    </w:div>
    <w:div w:id="1860703893">
      <w:bodyDiv w:val="1"/>
      <w:marLeft w:val="0"/>
      <w:marRight w:val="0"/>
      <w:marTop w:val="0"/>
      <w:marBottom w:val="0"/>
      <w:divBdr>
        <w:top w:val="none" w:sz="0" w:space="0" w:color="auto"/>
        <w:left w:val="none" w:sz="0" w:space="0" w:color="auto"/>
        <w:bottom w:val="none" w:sz="0" w:space="0" w:color="auto"/>
        <w:right w:val="none" w:sz="0" w:space="0" w:color="auto"/>
      </w:divBdr>
    </w:div>
    <w:div w:id="1897159465">
      <w:bodyDiv w:val="1"/>
      <w:marLeft w:val="0"/>
      <w:marRight w:val="0"/>
      <w:marTop w:val="0"/>
      <w:marBottom w:val="0"/>
      <w:divBdr>
        <w:top w:val="none" w:sz="0" w:space="0" w:color="auto"/>
        <w:left w:val="none" w:sz="0" w:space="0" w:color="auto"/>
        <w:bottom w:val="none" w:sz="0" w:space="0" w:color="auto"/>
        <w:right w:val="none" w:sz="0" w:space="0" w:color="auto"/>
      </w:divBdr>
    </w:div>
    <w:div w:id="2069717900">
      <w:bodyDiv w:val="1"/>
      <w:marLeft w:val="0"/>
      <w:marRight w:val="0"/>
      <w:marTop w:val="0"/>
      <w:marBottom w:val="0"/>
      <w:divBdr>
        <w:top w:val="none" w:sz="0" w:space="0" w:color="auto"/>
        <w:left w:val="none" w:sz="0" w:space="0" w:color="auto"/>
        <w:bottom w:val="none" w:sz="0" w:space="0" w:color="auto"/>
        <w:right w:val="none" w:sz="0" w:space="0" w:color="auto"/>
      </w:divBdr>
    </w:div>
    <w:div w:id="210995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Props1.xml><?xml version="1.0" encoding="utf-8"?>
<ds:datastoreItem xmlns:ds="http://schemas.openxmlformats.org/officeDocument/2006/customXml" ds:itemID="{D0F5FE67-E675-42C2-8B17-E198016DD4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10210</Words>
  <Characters>58198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alby ajaz</dc:creator>
  <cp:lastModifiedBy>Abdu Basith</cp:lastModifiedBy>
  <cp:revision>3</cp:revision>
  <dcterms:created xsi:type="dcterms:W3CDTF">2024-12-02T15:45:00Z</dcterms:created>
  <dcterms:modified xsi:type="dcterms:W3CDTF">2024-12-05T02:35:00Z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ef4335f5-457b-38f4-9670-de846c0764d3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http://www.zotero.org/styles/elsevier-harvard2</vt:lpwstr>
  </property>
  <property fmtid="{D5CDD505-2E9C-101B-9397-08002B2CF9AE}" pid="12" name="Mendeley Recent Style Name 3_1">
    <vt:lpwstr>Elsevier - Harvard 2</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http://www.zotero.org/styles/jurnal-sains-farmasi-dan-klinis</vt:lpwstr>
  </property>
  <property fmtid="{D5CDD505-2E9C-101B-9397-08002B2CF9AE}" pid="16" name="Mendeley Recent Style Name 5_1">
    <vt:lpwstr>Jurnal Sains Farmasi &amp; Klinis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